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Pr="00AD4CE9" w:rsidRDefault="000E46FA" w:rsidP="00AD4CE9">
      <w:pPr>
        <w:spacing w:before="0" w:after="0" w:line="228" w:lineRule="auto"/>
        <w:rPr>
          <w:rFonts w:ascii="Tahoma" w:hAnsi="Tahoma" w:cs="Tahoma"/>
        </w:rPr>
      </w:pPr>
    </w:p>
    <w:p w:rsidR="0067758A" w:rsidRDefault="0067758A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 xml:space="preserve">BALANCE GENERAL COMPARATIVO </w:t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603A0F" w:rsidP="00AD4CE9">
      <w:pPr>
        <w:spacing w:before="0" w:after="0" w:line="228" w:lineRule="auto"/>
        <w:rPr>
          <w:rFonts w:ascii="Tahoma" w:hAnsi="Tahoma" w:cs="Tahoma"/>
          <w:noProof/>
        </w:rPr>
      </w:pPr>
      <w:r w:rsidRPr="00603A0F">
        <w:rPr>
          <w:noProof/>
        </w:rPr>
        <w:drawing>
          <wp:inline distT="0" distB="0" distL="0" distR="0" wp14:anchorId="5274EB54" wp14:editId="6A74DAD1">
            <wp:extent cx="5613400" cy="5711705"/>
            <wp:effectExtent l="0" t="0" r="6350" b="381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7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2D03DF" w:rsidRDefault="002D03D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603A0F" w:rsidRDefault="00603A0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603A0F" w:rsidRDefault="00603A0F" w:rsidP="00AD4CE9">
      <w:pPr>
        <w:spacing w:before="0" w:after="0" w:line="228" w:lineRule="auto"/>
        <w:rPr>
          <w:rFonts w:ascii="Tahoma" w:hAnsi="Tahoma" w:cs="Tahoma"/>
          <w:noProof/>
        </w:rPr>
      </w:pPr>
      <w:r>
        <w:rPr>
          <w:noProof/>
        </w:rPr>
        <w:drawing>
          <wp:inline distT="0" distB="0" distL="0" distR="0" wp14:anchorId="51114F66" wp14:editId="03BEBCF1">
            <wp:extent cx="4572000" cy="2733675"/>
            <wp:effectExtent l="0" t="0" r="19050" b="9525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03A0F" w:rsidRDefault="00603A0F" w:rsidP="00AD4CE9">
      <w:pPr>
        <w:spacing w:before="0" w:after="0" w:line="228" w:lineRule="auto"/>
        <w:rPr>
          <w:rFonts w:ascii="Tahoma" w:hAnsi="Tahoma" w:cs="Tahoma"/>
          <w:noProof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603A0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Lotería del Tolima</w:t>
      </w:r>
      <w:r w:rsidR="00EC5776">
        <w:rPr>
          <w:rFonts w:ascii="Tahoma" w:hAnsi="Tahoma" w:cs="Tahoma"/>
        </w:rPr>
        <w:t>, en su Balance General Consolidado a 31 de diciembre de 2015 registra u</w:t>
      </w:r>
      <w:r>
        <w:rPr>
          <w:rFonts w:ascii="Tahoma" w:hAnsi="Tahoma" w:cs="Tahoma"/>
        </w:rPr>
        <w:t>n total de activos de $9.739,2</w:t>
      </w:r>
      <w:r w:rsidR="00EC5776">
        <w:rPr>
          <w:rFonts w:ascii="Tahoma" w:hAnsi="Tahoma" w:cs="Tahoma"/>
        </w:rPr>
        <w:t xml:space="preserve"> millones que comparado con el saldo alcanzado</w:t>
      </w:r>
      <w:r>
        <w:rPr>
          <w:rFonts w:ascii="Tahoma" w:hAnsi="Tahoma" w:cs="Tahoma"/>
        </w:rPr>
        <w:t xml:space="preserve"> en la vigencia 2014 ($9.421,4</w:t>
      </w:r>
      <w:r w:rsidR="00EC5776">
        <w:rPr>
          <w:rFonts w:ascii="Tahoma" w:hAnsi="Tahoma" w:cs="Tahoma"/>
        </w:rPr>
        <w:t xml:space="preserve"> millones)</w:t>
      </w:r>
      <w:r>
        <w:rPr>
          <w:rFonts w:ascii="Tahoma" w:hAnsi="Tahoma" w:cs="Tahoma"/>
        </w:rPr>
        <w:t xml:space="preserve"> refleja un incremento del 3.37</w:t>
      </w:r>
      <w:r w:rsidR="00EC5776">
        <w:rPr>
          <w:rFonts w:ascii="Tahoma" w:hAnsi="Tahoma" w:cs="Tahoma"/>
        </w:rPr>
        <w:t>%.</w:t>
      </w:r>
    </w:p>
    <w:p w:rsidR="00EC5776" w:rsidRDefault="00EC5776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03A0F" w:rsidRDefault="00603A0F" w:rsidP="00603A0F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Dentro de este grupo se encuentra la cuenta de Efectivo, cuyo saldo presentó una disminución  entre las dos vigencias (2014-2015) del 16.66% al pasar de $5.749,3 millones a $4.791,6 millones. El saldo de $4.362,9 millones que representaron el 91% de los recursos de la entidad  se encontraban consignados al finalizar l</w:t>
      </w:r>
      <w:r w:rsidR="0014199D">
        <w:rPr>
          <w:rFonts w:ascii="Tahoma" w:hAnsi="Tahoma" w:cs="Tahoma"/>
        </w:rPr>
        <w:t>a vigencia en cuentas de ahorro.</w:t>
      </w:r>
      <w:r>
        <w:rPr>
          <w:rFonts w:ascii="Tahoma" w:hAnsi="Tahoma" w:cs="Tahoma"/>
        </w:rPr>
        <w:t xml:space="preserve">  </w:t>
      </w:r>
    </w:p>
    <w:p w:rsidR="00603A0F" w:rsidRDefault="00603A0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4199D" w:rsidRDefault="0014199D" w:rsidP="0014199D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saldo de las inversiones ($244,5 millones) al finalizar la vigencia 2015</w:t>
      </w:r>
      <w:r w:rsidR="00DE19DF">
        <w:rPr>
          <w:rFonts w:ascii="Tahoma" w:hAnsi="Tahoma" w:cs="Tahoma"/>
        </w:rPr>
        <w:t>, presentó una disminución del 58.14% ($339,6 millones) frente al valor contabilizado en la vigencia 2014 esto es $584,2 millones.</w:t>
      </w:r>
      <w:r>
        <w:rPr>
          <w:rFonts w:ascii="Tahoma" w:hAnsi="Tahoma" w:cs="Tahoma"/>
        </w:rPr>
        <w:t xml:space="preserve"> </w:t>
      </w:r>
    </w:p>
    <w:p w:rsidR="00603A0F" w:rsidRDefault="00603A0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03A0F" w:rsidRDefault="008F3AA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Deudores presentó entre las vigencias 2014 y 2015, un incremento en el saldo  del 29.72% equivalente a $193,8 millones, pasando de registrar como saldo en el 2014 la suma de $652,2 millones a $846,1 millones en el 2015. EL 96% del saldo ($681,4 millones) corresponden a Deudores por Prestación de Servicios.</w:t>
      </w:r>
    </w:p>
    <w:p w:rsidR="008F3AAB" w:rsidRDefault="008F3AAB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F3AAB" w:rsidRDefault="008F3AAB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Lotería del Tolima, registró  a 31 de diciembre de 2014, en la cuenta de Inventarios la suma de $7,1 millones, presentando una disminución del 100% en la vigencia 2015.</w:t>
      </w:r>
    </w:p>
    <w:p w:rsidR="00603A0F" w:rsidRDefault="00603A0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A4F01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La cuenta de mayor representatividad dentro del grupo del Activo corresponde a “Otros Activos, cuenta que al finalizar la anualidad 2015, regis</w:t>
      </w:r>
      <w:r w:rsidR="008F3AAB">
        <w:rPr>
          <w:rFonts w:ascii="Tahoma" w:hAnsi="Tahoma" w:cs="Tahoma"/>
        </w:rPr>
        <w:t>tró  en su saldo la suma de $3.685,8</w:t>
      </w:r>
      <w:r>
        <w:rPr>
          <w:rFonts w:ascii="Tahoma" w:hAnsi="Tahoma" w:cs="Tahoma"/>
        </w:rPr>
        <w:t xml:space="preserve"> millones, con </w:t>
      </w:r>
      <w:r w:rsidR="008F3AAB">
        <w:rPr>
          <w:rFonts w:ascii="Tahoma" w:hAnsi="Tahoma" w:cs="Tahoma"/>
        </w:rPr>
        <w:t>una variación positiva del 64.18%al pasar de $2.244,9 millones (2014) a $3.685,8</w:t>
      </w:r>
      <w:r>
        <w:rPr>
          <w:rFonts w:ascii="Tahoma" w:hAnsi="Tahoma" w:cs="Tahoma"/>
        </w:rPr>
        <w:t xml:space="preserve"> millones en el (2015).</w:t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5A4F01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Las cuentas de Propiedad, Planta </w:t>
      </w:r>
      <w:r w:rsidR="008F3AA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obtuvieron un</w:t>
      </w:r>
      <w:r w:rsidR="008F3AAB">
        <w:rPr>
          <w:rFonts w:ascii="Tahoma" w:hAnsi="Tahoma" w:cs="Tahoma"/>
        </w:rPr>
        <w:t xml:space="preserve">a disminución en el saldo </w:t>
      </w:r>
      <w:r>
        <w:rPr>
          <w:rFonts w:ascii="Tahoma" w:hAnsi="Tahoma" w:cs="Tahoma"/>
        </w:rPr>
        <w:t xml:space="preserve"> al fi</w:t>
      </w:r>
      <w:r w:rsidR="008F3AAB">
        <w:rPr>
          <w:rFonts w:ascii="Tahoma" w:hAnsi="Tahoma" w:cs="Tahoma"/>
        </w:rPr>
        <w:t>nalizar la vigencia 2015 del  6.79% pasando de registrar en el 2014 la suma de  $</w:t>
      </w:r>
      <w:r w:rsidR="00C220D6">
        <w:rPr>
          <w:rFonts w:ascii="Tahoma" w:hAnsi="Tahoma" w:cs="Tahoma"/>
        </w:rPr>
        <w:t>183,4</w:t>
      </w:r>
      <w:r w:rsidR="008F3AAB">
        <w:rPr>
          <w:rFonts w:ascii="Tahoma" w:hAnsi="Tahoma" w:cs="Tahoma"/>
        </w:rPr>
        <w:t xml:space="preserve"> millones, para contabilizar en sus estados financieros al cierre del periodo fiscal 2015</w:t>
      </w:r>
      <w:r w:rsidR="00C220D6">
        <w:rPr>
          <w:rFonts w:ascii="Tahoma" w:hAnsi="Tahoma" w:cs="Tahoma"/>
        </w:rPr>
        <w:t xml:space="preserve"> la suma de $171</w:t>
      </w:r>
      <w:r w:rsidR="008F3AAB">
        <w:rPr>
          <w:rFonts w:ascii="Tahoma" w:hAnsi="Tahoma" w:cs="Tahoma"/>
        </w:rPr>
        <w:t xml:space="preserve"> millones.</w:t>
      </w:r>
    </w:p>
    <w:p w:rsidR="005C163A" w:rsidRDefault="005C163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C051C" w:rsidRDefault="002D3A88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grupo de cuentas del P</w:t>
      </w:r>
      <w:r w:rsidR="00C220D6">
        <w:rPr>
          <w:rFonts w:ascii="Tahoma" w:hAnsi="Tahoma" w:cs="Tahoma"/>
        </w:rPr>
        <w:t xml:space="preserve">asivo, presentaron una disminución </w:t>
      </w:r>
      <w:r>
        <w:rPr>
          <w:rFonts w:ascii="Tahoma" w:hAnsi="Tahoma" w:cs="Tahoma"/>
        </w:rPr>
        <w:t xml:space="preserve"> entre las</w:t>
      </w:r>
      <w:r w:rsidR="00C220D6">
        <w:rPr>
          <w:rFonts w:ascii="Tahoma" w:hAnsi="Tahoma" w:cs="Tahoma"/>
        </w:rPr>
        <w:t xml:space="preserve"> vigencias 2014 y 2015 del 10.38% al pasar de $6.171.1 millones a $5.530,6</w:t>
      </w:r>
      <w:r w:rsidR="007B72D9">
        <w:rPr>
          <w:rFonts w:ascii="Tahoma" w:hAnsi="Tahoma" w:cs="Tahoma"/>
        </w:rPr>
        <w:t xml:space="preserve"> millones, apalancado principalmente por la variación porcentual  que presentaron las Cuentas Por Pagar (137,4%), cuya cuenta paso de registrar </w:t>
      </w:r>
      <w:r w:rsidR="00FD7C62">
        <w:rPr>
          <w:rFonts w:ascii="Tahoma" w:hAnsi="Tahoma" w:cs="Tahoma"/>
        </w:rPr>
        <w:t xml:space="preserve">la suma de $752,4 millones a $1.786,6 millones en el 2015. </w:t>
      </w:r>
    </w:p>
    <w:p w:rsidR="004674EF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7B72D9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igual forma se refleja en los Estados Financieros de la Lotería del Tolima a 31 de diciembre de 2015, que las Obligaciones Laborales de la entidad disminuyeron en un 10.11% el saldo de la vigencia 2014 ($91 millones), registrando a 31 de diciembre de 2015 saldo por este concepto en cuantía de $81,8 millones.</w:t>
      </w:r>
    </w:p>
    <w:p w:rsidR="00FD7C62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4674EF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Pasivos estimados, fueron calculados para la anualidad 2015 en $3.662,1 millones, cifra que disminuyo en $1.665,4  (-31.25%) millones el saldo contabilizado en la vigencia 2014 el cual fue calculado en $5.327,6 millones.</w:t>
      </w:r>
      <w:r w:rsidR="006C051C">
        <w:rPr>
          <w:rFonts w:ascii="Tahoma" w:hAnsi="Tahoma" w:cs="Tahoma"/>
        </w:rPr>
        <w:t xml:space="preserve"> </w:t>
      </w:r>
    </w:p>
    <w:p w:rsidR="00FD7C62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FD7C62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FD7C62">
        <w:rPr>
          <w:noProof/>
        </w:rPr>
        <w:drawing>
          <wp:inline distT="0" distB="0" distL="0" distR="0" wp14:anchorId="59855CDC" wp14:editId="6C4842C7">
            <wp:extent cx="5613400" cy="860772"/>
            <wp:effectExtent l="0" t="0" r="635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86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C62" w:rsidRDefault="00FD7C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EC5776" w:rsidRDefault="004674EF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Patrimonio </w:t>
      </w:r>
      <w:r w:rsidR="006C051C">
        <w:rPr>
          <w:rFonts w:ascii="Tahoma" w:hAnsi="Tahoma" w:cs="Tahoma"/>
        </w:rPr>
        <w:t xml:space="preserve"> refleja</w:t>
      </w:r>
      <w:r>
        <w:rPr>
          <w:rFonts w:ascii="Tahoma" w:hAnsi="Tahoma" w:cs="Tahoma"/>
        </w:rPr>
        <w:t xml:space="preserve"> </w:t>
      </w:r>
      <w:r w:rsidR="006C051C">
        <w:rPr>
          <w:rFonts w:ascii="Tahoma" w:hAnsi="Tahoma" w:cs="Tahoma"/>
        </w:rPr>
        <w:t xml:space="preserve"> </w:t>
      </w:r>
      <w:r w:rsidR="00FD7C62">
        <w:rPr>
          <w:rFonts w:ascii="Tahoma" w:hAnsi="Tahoma" w:cs="Tahoma"/>
        </w:rPr>
        <w:t>un aumento en el saldo del 29.48% esto es $958,2</w:t>
      </w:r>
      <w:r>
        <w:rPr>
          <w:rFonts w:ascii="Tahoma" w:hAnsi="Tahoma" w:cs="Tahoma"/>
        </w:rPr>
        <w:t xml:space="preserve"> millones, generado por</w:t>
      </w:r>
      <w:r w:rsidR="0031286D">
        <w:rPr>
          <w:rFonts w:ascii="Tahoma" w:hAnsi="Tahoma" w:cs="Tahoma"/>
        </w:rPr>
        <w:t xml:space="preserve"> el  valor  registrados como “Superávit por Valorización” </w:t>
      </w:r>
      <w:r>
        <w:rPr>
          <w:rFonts w:ascii="Tahoma" w:hAnsi="Tahoma" w:cs="Tahoma"/>
        </w:rPr>
        <w:t xml:space="preserve"> el</w:t>
      </w:r>
      <w:r w:rsidR="0031286D">
        <w:rPr>
          <w:rFonts w:ascii="Tahoma" w:hAnsi="Tahoma" w:cs="Tahoma"/>
        </w:rPr>
        <w:t xml:space="preserve"> cual presentó un incremento del 64.42% pasando de $2.234 millones a $3.673,2 millones.  Durante el Ejercicio Fiscal 2015, la entidad generó saldo negativo de $-97,1 millones.</w:t>
      </w:r>
      <w:r>
        <w:rPr>
          <w:rFonts w:ascii="Tahoma" w:hAnsi="Tahoma" w:cs="Tahoma"/>
        </w:rPr>
        <w:t xml:space="preserve"> </w:t>
      </w:r>
    </w:p>
    <w:p w:rsidR="004674EF" w:rsidRDefault="004674EF" w:rsidP="00AD4CE9">
      <w:pPr>
        <w:spacing w:before="0" w:after="0" w:line="228" w:lineRule="auto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rPr>
          <w:rFonts w:ascii="Tahoma" w:hAnsi="Tahoma" w:cs="Tahoma"/>
        </w:rPr>
      </w:pPr>
    </w:p>
    <w:p w:rsidR="0031286D" w:rsidRPr="00AD4CE9" w:rsidRDefault="0031286D" w:rsidP="00AD4CE9">
      <w:pPr>
        <w:spacing w:before="0" w:after="0" w:line="228" w:lineRule="auto"/>
        <w:rPr>
          <w:rFonts w:ascii="Tahoma" w:hAnsi="Tahoma" w:cs="Tahoma"/>
        </w:rPr>
      </w:pPr>
    </w:p>
    <w:p w:rsidR="00BC5D7D" w:rsidRDefault="00BC5D7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lastRenderedPageBreak/>
        <w:t>ESTADO DE ACTIVIDAD FINANCIERA, ECONÓMICA, SOCIAL Y AMBIENTAL COMPARATIVO</w:t>
      </w:r>
    </w:p>
    <w:p w:rsidR="00AD4CE9" w:rsidRPr="00AD4CE9" w:rsidRDefault="00AD4CE9" w:rsidP="00AD4CE9">
      <w:pPr>
        <w:pStyle w:val="Prrafodelista"/>
        <w:spacing w:before="0" w:after="0" w:line="228" w:lineRule="auto"/>
        <w:rPr>
          <w:rFonts w:ascii="Tahoma" w:hAnsi="Tahoma" w:cs="Tahoma"/>
          <w:b/>
        </w:rPr>
      </w:pPr>
    </w:p>
    <w:p w:rsidR="004674EF" w:rsidRDefault="0031286D" w:rsidP="00AD4CE9">
      <w:pPr>
        <w:spacing w:before="0" w:after="0" w:line="228" w:lineRule="auto"/>
        <w:rPr>
          <w:rFonts w:ascii="Tahoma" w:hAnsi="Tahoma" w:cs="Tahoma"/>
        </w:rPr>
      </w:pPr>
      <w:r w:rsidRPr="0031286D">
        <w:rPr>
          <w:noProof/>
        </w:rPr>
        <w:drawing>
          <wp:inline distT="0" distB="0" distL="0" distR="0" wp14:anchorId="3172C9D4" wp14:editId="1BB5A030">
            <wp:extent cx="5613400" cy="2460015"/>
            <wp:effectExtent l="0" t="0" r="635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4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Analizado el Es</w:t>
      </w:r>
      <w:r w:rsidR="0031286D">
        <w:rPr>
          <w:rFonts w:ascii="Tahoma" w:hAnsi="Tahoma" w:cs="Tahoma"/>
        </w:rPr>
        <w:t>tado de Actividad Financiera de la “Lotería del Tolima”</w:t>
      </w:r>
      <w:r>
        <w:rPr>
          <w:rFonts w:ascii="Tahoma" w:hAnsi="Tahoma" w:cs="Tahoma"/>
        </w:rPr>
        <w:t xml:space="preserve"> </w:t>
      </w:r>
      <w:r w:rsidR="006D20E4">
        <w:rPr>
          <w:rFonts w:ascii="Tahoma" w:hAnsi="Tahoma" w:cs="Tahoma"/>
        </w:rPr>
        <w:t>a 31 de diciembre de 2015 frente al resultado obtenido en el 2014, se puede determinar que los ingresos presentaron entre las dos v</w:t>
      </w:r>
      <w:r w:rsidR="0031286D">
        <w:rPr>
          <w:rFonts w:ascii="Tahoma" w:hAnsi="Tahoma" w:cs="Tahoma"/>
        </w:rPr>
        <w:t>igencias un incremento del 26.12% es decir $2.055</w:t>
      </w:r>
      <w:r w:rsidR="006D20E4">
        <w:rPr>
          <w:rFonts w:ascii="Tahoma" w:hAnsi="Tahoma" w:cs="Tahoma"/>
        </w:rPr>
        <w:t xml:space="preserve"> millones</w:t>
      </w:r>
      <w:r w:rsidR="005D66B0">
        <w:rPr>
          <w:rFonts w:ascii="Tahoma" w:hAnsi="Tahoma" w:cs="Tahoma"/>
        </w:rPr>
        <w:t xml:space="preserve">, </w:t>
      </w:r>
      <w:r w:rsidR="0031286D">
        <w:rPr>
          <w:rFonts w:ascii="Tahoma" w:hAnsi="Tahoma" w:cs="Tahoma"/>
        </w:rPr>
        <w:t xml:space="preserve"> al pasar de $7.866,8</w:t>
      </w:r>
      <w:r w:rsidR="006D20E4">
        <w:rPr>
          <w:rFonts w:ascii="Tahoma" w:hAnsi="Tahoma" w:cs="Tahoma"/>
        </w:rPr>
        <w:t xml:space="preserve"> millones  </w:t>
      </w:r>
      <w:r w:rsidR="0031286D">
        <w:rPr>
          <w:rFonts w:ascii="Tahoma" w:hAnsi="Tahoma" w:cs="Tahoma"/>
        </w:rPr>
        <w:t xml:space="preserve">en el 2014 a $9.921,9 </w:t>
      </w:r>
      <w:r w:rsidR="00AA22C9">
        <w:rPr>
          <w:rFonts w:ascii="Tahoma" w:hAnsi="Tahoma" w:cs="Tahoma"/>
        </w:rPr>
        <w:t xml:space="preserve"> millones en el 2015, resultado que deja en evidencia la gestión </w:t>
      </w:r>
      <w:r w:rsidR="0031286D">
        <w:rPr>
          <w:rFonts w:ascii="Tahoma" w:hAnsi="Tahoma" w:cs="Tahoma"/>
        </w:rPr>
        <w:t xml:space="preserve"> adelantada por la administración durante la anualidad.</w:t>
      </w: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A22C9" w:rsidRDefault="00AA22C9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</w:t>
      </w:r>
      <w:r w:rsidR="0031286D">
        <w:rPr>
          <w:rFonts w:ascii="Tahoma" w:hAnsi="Tahoma" w:cs="Tahoma"/>
        </w:rPr>
        <w:t>Ingresos Fiscales, incrementaron en un 11.43</w:t>
      </w:r>
      <w:r w:rsidR="00B21A6F">
        <w:rPr>
          <w:rFonts w:ascii="Tahoma" w:hAnsi="Tahoma" w:cs="Tahoma"/>
        </w:rPr>
        <w:t>% el saldo obtenido en</w:t>
      </w:r>
      <w:r w:rsidR="009471EB">
        <w:rPr>
          <w:rFonts w:ascii="Tahoma" w:hAnsi="Tahoma" w:cs="Tahoma"/>
        </w:rPr>
        <w:t xml:space="preserve"> la vigencia 2014, finalizando la anua</w:t>
      </w:r>
      <w:r w:rsidR="0031286D">
        <w:rPr>
          <w:rFonts w:ascii="Tahoma" w:hAnsi="Tahoma" w:cs="Tahoma"/>
        </w:rPr>
        <w:t>lidad (2015) con saldo $90.3</w:t>
      </w:r>
      <w:r w:rsidR="009471EB">
        <w:rPr>
          <w:rFonts w:ascii="Tahoma" w:hAnsi="Tahoma" w:cs="Tahoma"/>
        </w:rPr>
        <w:t xml:space="preserve"> millones.  Los recursos provenientes de </w:t>
      </w:r>
      <w:r w:rsidR="0031286D">
        <w:rPr>
          <w:rFonts w:ascii="Tahoma" w:hAnsi="Tahoma" w:cs="Tahoma"/>
        </w:rPr>
        <w:t>Venta de Servicios  m</w:t>
      </w:r>
      <w:r w:rsidR="009471EB">
        <w:rPr>
          <w:rFonts w:ascii="Tahoma" w:hAnsi="Tahoma" w:cs="Tahoma"/>
        </w:rPr>
        <w:t>antuvieron de igual forma u</w:t>
      </w:r>
      <w:r w:rsidR="0031286D">
        <w:rPr>
          <w:rFonts w:ascii="Tahoma" w:hAnsi="Tahoma" w:cs="Tahoma"/>
        </w:rPr>
        <w:t>n crecimiento positivo del 29%pasando de $7.432 millones en el 2014 a $9.587</w:t>
      </w:r>
      <w:r w:rsidR="009471EB">
        <w:rPr>
          <w:rFonts w:ascii="Tahoma" w:hAnsi="Tahoma" w:cs="Tahoma"/>
        </w:rPr>
        <w:t xml:space="preserve"> millones en el 2015.</w:t>
      </w: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2564A" w:rsidRDefault="0012564A" w:rsidP="0012564A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gastos aunque  mantuvieron un crecimiento porcentual en el saldo obtenido en las dos vigencias (2014-2015) el mismo,  tan solo alcanzó un 9.54%  representados en $108,6 millones, pasando de un saldo de $2.416,3 millones a registrar en el 2015  una cifra que alcanzó los $2.842,3 millones, teniendo las mayores participaciones los Gastos de Administración y Transferencias (43% y 53% respectivamente).  </w:t>
      </w: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lastRenderedPageBreak/>
        <w:drawing>
          <wp:inline distT="0" distB="0" distL="0" distR="0" wp14:anchorId="1791A4CA">
            <wp:extent cx="3880237" cy="2556181"/>
            <wp:effectExtent l="0" t="0" r="635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964" cy="255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5D533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5D533E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Transferencias,</w:t>
      </w:r>
      <w:r w:rsidR="00556949">
        <w:rPr>
          <w:rFonts w:ascii="Tahoma" w:hAnsi="Tahoma" w:cs="Tahoma"/>
        </w:rPr>
        <w:t xml:space="preserve"> la de mayor representatividad </w:t>
      </w:r>
      <w:r>
        <w:rPr>
          <w:rFonts w:ascii="Tahoma" w:hAnsi="Tahoma" w:cs="Tahoma"/>
        </w:rPr>
        <w:t xml:space="preserve"> durante la anualidad 2015 (53%) registró </w:t>
      </w:r>
      <w:r w:rsidR="00556949">
        <w:rPr>
          <w:rFonts w:ascii="Tahoma" w:hAnsi="Tahoma" w:cs="Tahoma"/>
        </w:rPr>
        <w:t>un</w:t>
      </w:r>
      <w:r>
        <w:rPr>
          <w:rFonts w:ascii="Tahoma" w:hAnsi="Tahoma" w:cs="Tahoma"/>
        </w:rPr>
        <w:t xml:space="preserve"> crecimiento  porcentual de 29%, al pasar de un saldo de $1.189,1 millones en el 2014 a $1.533,9 millones en el 2015.</w:t>
      </w:r>
      <w:r w:rsidR="00556949">
        <w:rPr>
          <w:rFonts w:ascii="Tahoma" w:hAnsi="Tahoma" w:cs="Tahoma"/>
        </w:rPr>
        <w:t xml:space="preserve"> </w:t>
      </w:r>
    </w:p>
    <w:p w:rsidR="0012564A" w:rsidRDefault="0012564A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BC5D7D" w:rsidRPr="00AD4CE9" w:rsidRDefault="00BC5D7D" w:rsidP="00AD4CE9">
      <w:pPr>
        <w:spacing w:before="0" w:after="0" w:line="228" w:lineRule="auto"/>
        <w:rPr>
          <w:rFonts w:ascii="Tahoma" w:hAnsi="Tahoma" w:cs="Tahoma"/>
        </w:rPr>
      </w:pPr>
    </w:p>
    <w:p w:rsidR="00BC5D7D" w:rsidRPr="00AD4CE9" w:rsidRDefault="00814D3D" w:rsidP="00AD4CE9">
      <w:pPr>
        <w:pStyle w:val="Prrafodelista"/>
        <w:numPr>
          <w:ilvl w:val="0"/>
          <w:numId w:val="50"/>
        </w:numPr>
        <w:spacing w:before="0" w:after="0" w:line="228" w:lineRule="auto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APLICACIÓN DE INDICADORES FINANCIEROS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814D3D" w:rsidP="00AD4CE9">
      <w:pPr>
        <w:pStyle w:val="Prrafodelista"/>
        <w:numPr>
          <w:ilvl w:val="1"/>
          <w:numId w:val="50"/>
        </w:num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Indicadores de liquidez y Solvencia</w:t>
      </w:r>
    </w:p>
    <w:p w:rsidR="00814D3D" w:rsidRPr="00AD4CE9" w:rsidRDefault="00814D3D" w:rsidP="00AD4CE9">
      <w:pPr>
        <w:spacing w:before="0" w:after="0" w:line="228" w:lineRule="auto"/>
        <w:rPr>
          <w:rFonts w:ascii="Tahoma" w:hAnsi="Tahoma" w:cs="Tahoma"/>
        </w:rPr>
      </w:pPr>
    </w:p>
    <w:p w:rsidR="00814D3D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</w:t>
      </w:r>
      <w:r w:rsidR="0012564A">
        <w:rPr>
          <w:rFonts w:ascii="Tahoma" w:hAnsi="Tahoma" w:cs="Tahoma"/>
        </w:rPr>
        <w:t xml:space="preserve"> Corriente: N</w:t>
      </w:r>
      <w:r w:rsidR="00814D3D" w:rsidRPr="00AD4CE9">
        <w:rPr>
          <w:rFonts w:ascii="Tahoma" w:hAnsi="Tahoma" w:cs="Tahoma"/>
        </w:rPr>
        <w:t>os muestra la capacidad que tiene la entidad</w:t>
      </w:r>
      <w:r w:rsidRPr="00AD4CE9"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/ Pasivo Corriente</w:t>
      </w:r>
    </w:p>
    <w:p w:rsidR="00160B31" w:rsidRPr="00AD4CE9" w:rsidRDefault="00160B31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160B31" w:rsidRPr="00AD4CE9" w:rsidRDefault="00160B31" w:rsidP="0011219D">
      <w:pPr>
        <w:spacing w:before="0" w:after="0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Activo Corriente:</w:t>
      </w:r>
    </w:p>
    <w:p w:rsidR="00160B31" w:rsidRPr="00A22617" w:rsidRDefault="00556949" w:rsidP="0011219D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A22617" w:rsidRPr="00A22617">
        <w:rPr>
          <w:sz w:val="20"/>
          <w:szCs w:val="20"/>
        </w:rPr>
        <w:t xml:space="preserve"> </w:t>
      </w:r>
      <w:r w:rsidR="00A22617" w:rsidRPr="00A22617">
        <w:rPr>
          <w:rFonts w:ascii="Tahoma" w:eastAsia="Times New Roman" w:hAnsi="Tahoma" w:cs="Tahoma"/>
          <w:color w:val="auto"/>
        </w:rPr>
        <w:t>4.791.601</w:t>
      </w:r>
      <w:r w:rsidRPr="00A22617">
        <w:rPr>
          <w:rFonts w:ascii="Tahoma" w:hAnsi="Tahoma" w:cs="Tahoma"/>
        </w:rPr>
        <w:tab/>
        <w:t xml:space="preserve">  </w:t>
      </w:r>
      <w:r w:rsidR="003D5BDF" w:rsidRPr="00A22617">
        <w:rPr>
          <w:rFonts w:ascii="Tahoma" w:hAnsi="Tahoma" w:cs="Tahoma"/>
        </w:rPr>
        <w:t xml:space="preserve"> </w:t>
      </w:r>
      <w:r w:rsidR="00A22617" w:rsidRPr="00A22617">
        <w:rPr>
          <w:rFonts w:ascii="Tahoma" w:hAnsi="Tahoma" w:cs="Tahoma"/>
        </w:rPr>
        <w:t xml:space="preserve"> </w:t>
      </w:r>
    </w:p>
    <w:p w:rsidR="001666F5" w:rsidRPr="00A22617" w:rsidRDefault="001666F5" w:rsidP="0011219D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 w:rsidRPr="00A22617">
        <w:rPr>
          <w:rFonts w:ascii="Tahoma" w:hAnsi="Tahoma" w:cs="Tahoma"/>
        </w:rPr>
        <w:t>Deudores</w:t>
      </w:r>
      <w:r w:rsidRPr="00A22617">
        <w:rPr>
          <w:rFonts w:ascii="Tahoma" w:hAnsi="Tahoma" w:cs="Tahoma"/>
        </w:rPr>
        <w:tab/>
      </w:r>
      <w:r w:rsidRPr="00A22617">
        <w:rPr>
          <w:rFonts w:ascii="Tahoma" w:hAnsi="Tahoma" w:cs="Tahoma"/>
        </w:rPr>
        <w:tab/>
        <w:t xml:space="preserve"> </w:t>
      </w:r>
      <w:r w:rsidR="00A22617" w:rsidRPr="00A22617">
        <w:rPr>
          <w:rFonts w:ascii="Tahoma" w:hAnsi="Tahoma" w:cs="Tahoma"/>
        </w:rPr>
        <w:t xml:space="preserve">    </w:t>
      </w:r>
      <w:r w:rsidR="00A22617" w:rsidRPr="00A22617">
        <w:rPr>
          <w:rFonts w:ascii="Tahoma" w:eastAsia="Times New Roman" w:hAnsi="Tahoma" w:cs="Tahoma"/>
          <w:color w:val="auto"/>
        </w:rPr>
        <w:t>846.181</w:t>
      </w:r>
    </w:p>
    <w:p w:rsidR="00A22617" w:rsidRPr="00A22617" w:rsidRDefault="00A22617" w:rsidP="0011219D">
      <w:pPr>
        <w:spacing w:before="0" w:after="0"/>
        <w:jc w:val="both"/>
        <w:rPr>
          <w:rFonts w:ascii="Tahoma" w:eastAsia="Times New Roman" w:hAnsi="Tahoma" w:cs="Tahoma"/>
          <w:color w:val="auto"/>
        </w:rPr>
      </w:pPr>
      <w:r w:rsidRPr="00A22617">
        <w:rPr>
          <w:rFonts w:ascii="Tahoma" w:eastAsia="Times New Roman" w:hAnsi="Tahoma" w:cs="Tahoma"/>
          <w:color w:val="auto"/>
        </w:rPr>
        <w:t>Otros Deudores               5.205</w:t>
      </w:r>
    </w:p>
    <w:p w:rsidR="001666F5" w:rsidRPr="00AD4CE9" w:rsidRDefault="001666F5" w:rsidP="0011219D">
      <w:pPr>
        <w:spacing w:before="0" w:after="0"/>
        <w:rPr>
          <w:rFonts w:ascii="Tahoma" w:hAnsi="Tahoma" w:cs="Tahoma"/>
        </w:rPr>
      </w:pP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  <w:t>----------------</w:t>
      </w:r>
      <w:r w:rsidR="000467A1" w:rsidRPr="00AD4CE9">
        <w:rPr>
          <w:rFonts w:ascii="Tahoma" w:hAnsi="Tahoma" w:cs="Tahoma"/>
        </w:rPr>
        <w:t>----</w:t>
      </w:r>
    </w:p>
    <w:p w:rsidR="001666F5" w:rsidRPr="00AD4CE9" w:rsidRDefault="00A22617" w:rsidP="0011219D">
      <w:p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$</w:t>
      </w:r>
      <w:r w:rsidR="0004345F">
        <w:rPr>
          <w:rFonts w:ascii="Tahoma" w:hAnsi="Tahoma" w:cs="Tahoma"/>
        </w:rPr>
        <w:t>5.642.987</w:t>
      </w:r>
    </w:p>
    <w:p w:rsidR="001666F5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04345F" w:rsidRDefault="0004345F" w:rsidP="00AD4CE9">
      <w:pPr>
        <w:spacing w:before="0" w:after="0" w:line="228" w:lineRule="auto"/>
        <w:rPr>
          <w:rFonts w:ascii="Tahoma" w:hAnsi="Tahoma" w:cs="Tahoma"/>
        </w:rPr>
      </w:pPr>
    </w:p>
    <w:p w:rsidR="0011219D" w:rsidRDefault="0011219D" w:rsidP="00AD4CE9">
      <w:pPr>
        <w:spacing w:before="0" w:after="0" w:line="228" w:lineRule="auto"/>
        <w:rPr>
          <w:rFonts w:ascii="Tahoma" w:hAnsi="Tahoma" w:cs="Tahoma"/>
        </w:rPr>
      </w:pPr>
    </w:p>
    <w:p w:rsidR="0011219D" w:rsidRPr="00AD4CE9" w:rsidRDefault="0011219D" w:rsidP="00AD4CE9">
      <w:pPr>
        <w:spacing w:before="0" w:after="0" w:line="228" w:lineRule="auto"/>
        <w:rPr>
          <w:rFonts w:ascii="Tahoma" w:hAnsi="Tahoma" w:cs="Tahoma"/>
        </w:rPr>
      </w:pPr>
      <w:bookmarkStart w:id="0" w:name="_GoBack"/>
      <w:bookmarkEnd w:id="0"/>
    </w:p>
    <w:p w:rsidR="001666F5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lastRenderedPageBreak/>
        <w:t>Pasivo Corriente:</w:t>
      </w:r>
    </w:p>
    <w:p w:rsidR="0004345F" w:rsidRPr="00AD4CE9" w:rsidRDefault="0004345F" w:rsidP="00AD4CE9">
      <w:pPr>
        <w:spacing w:before="0" w:after="0" w:line="228" w:lineRule="auto"/>
        <w:rPr>
          <w:rFonts w:ascii="Tahoma" w:hAnsi="Tahoma" w:cs="Tahoma"/>
        </w:rPr>
      </w:pPr>
    </w:p>
    <w:p w:rsidR="001666F5" w:rsidRPr="00AD4CE9" w:rsidRDefault="0004345F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Cuentas por Pagar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</w:t>
      </w:r>
      <w:r w:rsidR="003D5BDF">
        <w:rPr>
          <w:rFonts w:ascii="Tahoma" w:hAnsi="Tahoma" w:cs="Tahoma"/>
        </w:rPr>
        <w:t xml:space="preserve"> </w:t>
      </w:r>
      <w:r w:rsidR="002E494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$</w:t>
      </w:r>
      <w:r w:rsidR="002E494A">
        <w:rPr>
          <w:rFonts w:ascii="Tahoma" w:hAnsi="Tahoma" w:cs="Tahoma"/>
        </w:rPr>
        <w:t>1.786.615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>Obligaciones Laborales</w:t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ab/>
      </w:r>
      <w:r w:rsidR="000467A1" w:rsidRPr="00AD4CE9">
        <w:rPr>
          <w:rFonts w:ascii="Tahoma" w:hAnsi="Tahoma" w:cs="Tahoma"/>
        </w:rPr>
        <w:t xml:space="preserve">    </w:t>
      </w:r>
      <w:r w:rsidRPr="00AD4CE9">
        <w:rPr>
          <w:rFonts w:ascii="Tahoma" w:hAnsi="Tahoma" w:cs="Tahoma"/>
        </w:rPr>
        <w:t xml:space="preserve"> </w:t>
      </w:r>
      <w:r w:rsidR="002E494A">
        <w:rPr>
          <w:rFonts w:ascii="Tahoma" w:hAnsi="Tahoma" w:cs="Tahoma"/>
        </w:rPr>
        <w:t xml:space="preserve">   81.866</w:t>
      </w:r>
    </w:p>
    <w:p w:rsidR="001666F5" w:rsidRPr="00AD4CE9" w:rsidRDefault="000467A1" w:rsidP="00AD4CE9">
      <w:pPr>
        <w:spacing w:before="0" w:after="0" w:line="228" w:lineRule="auto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   </w:t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="001666F5" w:rsidRPr="00AD4CE9">
        <w:rPr>
          <w:rFonts w:ascii="Tahoma" w:hAnsi="Tahoma" w:cs="Tahoma"/>
        </w:rPr>
        <w:tab/>
      </w:r>
      <w:r w:rsidRPr="00AD4CE9">
        <w:rPr>
          <w:rFonts w:ascii="Tahoma" w:hAnsi="Tahoma" w:cs="Tahoma"/>
        </w:rPr>
        <w:t xml:space="preserve">          ---</w:t>
      </w:r>
      <w:r w:rsidR="001666F5" w:rsidRPr="00AD4CE9">
        <w:rPr>
          <w:rFonts w:ascii="Tahoma" w:hAnsi="Tahoma" w:cs="Tahoma"/>
        </w:rPr>
        <w:t>----------------</w:t>
      </w:r>
    </w:p>
    <w:p w:rsidR="001666F5" w:rsidRPr="00AD4CE9" w:rsidRDefault="002E494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$1.868.481</w:t>
      </w:r>
    </w:p>
    <w:p w:rsidR="001666F5" w:rsidRPr="00AD4CE9" w:rsidRDefault="001666F5" w:rsidP="00AD4CE9">
      <w:pPr>
        <w:spacing w:before="0" w:after="0" w:line="228" w:lineRule="auto"/>
        <w:rPr>
          <w:rFonts w:ascii="Tahoma" w:hAnsi="Tahoma" w:cs="Tahoma"/>
        </w:rPr>
      </w:pPr>
    </w:p>
    <w:p w:rsidR="002E494A" w:rsidRPr="00AD4CE9" w:rsidRDefault="002E494A" w:rsidP="002E494A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>Razón Corriente  $5.642.987 / $1.868.481 = 3.020</w:t>
      </w:r>
    </w:p>
    <w:p w:rsidR="001666F5" w:rsidRPr="00AD4CE9" w:rsidRDefault="002E494A" w:rsidP="00AD4CE9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A7456E" w:rsidRPr="00AD4CE9" w:rsidRDefault="00A7456E" w:rsidP="00AD4CE9">
      <w:pPr>
        <w:spacing w:before="0" w:after="0" w:line="228" w:lineRule="auto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anterior resultado nos muestra que por cada peso que</w:t>
      </w:r>
      <w:r w:rsidR="008A0D90">
        <w:rPr>
          <w:rFonts w:ascii="Tahoma" w:hAnsi="Tahoma" w:cs="Tahoma"/>
        </w:rPr>
        <w:t xml:space="preserve"> la </w:t>
      </w:r>
      <w:r w:rsidR="002E494A">
        <w:rPr>
          <w:rFonts w:ascii="Tahoma" w:hAnsi="Tahoma" w:cs="Tahoma"/>
        </w:rPr>
        <w:t xml:space="preserve">Lotería del Tolima </w:t>
      </w:r>
      <w:r w:rsidRPr="00AD4CE9">
        <w:rPr>
          <w:rFonts w:ascii="Tahoma" w:hAnsi="Tahoma" w:cs="Tahoma"/>
        </w:rPr>
        <w:t xml:space="preserve">debe a corto plazo, cuenta con </w:t>
      </w:r>
      <w:r w:rsidR="002E494A">
        <w:rPr>
          <w:rFonts w:ascii="Tahoma" w:hAnsi="Tahoma" w:cs="Tahoma"/>
        </w:rPr>
        <w:t>3,020</w:t>
      </w:r>
      <w:r w:rsidR="00204E7B" w:rsidRPr="00AD4CE9">
        <w:rPr>
          <w:rFonts w:ascii="Tahoma" w:hAnsi="Tahoma" w:cs="Tahoma"/>
        </w:rPr>
        <w:t xml:space="preserve"> </w:t>
      </w:r>
      <w:r w:rsidRPr="00AD4CE9">
        <w:rPr>
          <w:rFonts w:ascii="Tahoma" w:hAnsi="Tahoma" w:cs="Tahoma"/>
        </w:rPr>
        <w:t xml:space="preserve"> pesos en activos corriente para cu</w:t>
      </w:r>
      <w:r w:rsidR="002E494A">
        <w:rPr>
          <w:rFonts w:ascii="Tahoma" w:hAnsi="Tahoma" w:cs="Tahoma"/>
        </w:rPr>
        <w:t xml:space="preserve">brirlos, lo que significa que la  mencionada entidad </w:t>
      </w:r>
      <w:r w:rsidR="008A0D90">
        <w:rPr>
          <w:rFonts w:ascii="Tahoma" w:hAnsi="Tahoma" w:cs="Tahoma"/>
        </w:rPr>
        <w:t xml:space="preserve"> refleja liquidez </w:t>
      </w:r>
      <w:r w:rsidRPr="00AD4CE9">
        <w:rPr>
          <w:rFonts w:ascii="Tahoma" w:hAnsi="Tahoma" w:cs="Tahoma"/>
        </w:rPr>
        <w:t xml:space="preserve"> para cubrir sus pasivos de corto plazo.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CAPITAL NETO DE TRABAJO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capital neto de trabajo es el resultado de restar del activo corriente los pasivos a corto plazo de la entidad. El capital de trabajo se considera como aquellos recursos que necesita la entidad para operar.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Activo Corriente – Pasivo Corriente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2E494A" w:rsidP="008A0D90">
      <w:pPr>
        <w:spacing w:before="0" w:after="0" w:line="228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$5.642.987 - $1.868.481 </w:t>
      </w:r>
      <w:r w:rsidR="00204E7B" w:rsidRPr="00AD4CE9">
        <w:rPr>
          <w:rFonts w:ascii="Tahoma" w:hAnsi="Tahoma" w:cs="Tahoma"/>
        </w:rPr>
        <w:t xml:space="preserve"> </w:t>
      </w:r>
      <w:r w:rsidR="00A7456E" w:rsidRPr="00AD4CE9">
        <w:rPr>
          <w:rFonts w:ascii="Tahoma" w:hAnsi="Tahoma" w:cs="Tahoma"/>
        </w:rPr>
        <w:t>= $</w:t>
      </w:r>
      <w:r w:rsidR="00E0378C">
        <w:rPr>
          <w:rFonts w:ascii="Tahoma" w:hAnsi="Tahoma" w:cs="Tahoma"/>
        </w:rPr>
        <w:t>3.774.506</w:t>
      </w:r>
    </w:p>
    <w:p w:rsidR="00A7456E" w:rsidRPr="00AD4CE9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Default="00A7456E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</w:t>
      </w:r>
      <w:r w:rsidR="00E0378C">
        <w:rPr>
          <w:rFonts w:ascii="Tahoma" w:hAnsi="Tahoma" w:cs="Tahoma"/>
        </w:rPr>
        <w:t xml:space="preserve">la entidad </w:t>
      </w:r>
      <w:r w:rsidRPr="00AD4CE9">
        <w:rPr>
          <w:rFonts w:ascii="Tahoma" w:hAnsi="Tahoma" w:cs="Tahoma"/>
        </w:rPr>
        <w:t xml:space="preserve"> cuenta con suficientes recursos propios para operar.</w:t>
      </w:r>
    </w:p>
    <w:p w:rsidR="008A0D90" w:rsidRPr="00AD4CE9" w:rsidRDefault="008A0D90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NIVEL DE ENDEUDAMIENTO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Este indicador nos presenta el porcentaje de participación de los acreedores dentro de l</w:t>
      </w:r>
      <w:r w:rsidR="00E0378C">
        <w:rPr>
          <w:rFonts w:ascii="Tahoma" w:hAnsi="Tahoma" w:cs="Tahoma"/>
        </w:rPr>
        <w:t>os activos de la Lotería del Tolima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Pasivo Total con Terceros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E0378C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$1.868.481  /$9.739.209</w:t>
      </w:r>
      <w:r w:rsidR="008A1B70" w:rsidRPr="00AD4CE9">
        <w:rPr>
          <w:rFonts w:ascii="Tahoma" w:hAnsi="Tahoma" w:cs="Tahoma"/>
        </w:rPr>
        <w:t xml:space="preserve"> </w:t>
      </w:r>
      <w:r w:rsidR="003E25A9" w:rsidRPr="00AD4CE9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19.18</w:t>
      </w:r>
      <w:r w:rsidR="003E25A9" w:rsidRPr="00AD4CE9">
        <w:rPr>
          <w:rFonts w:ascii="Tahoma" w:hAnsi="Tahoma" w:cs="Tahoma"/>
        </w:rPr>
        <w:t>%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El anterior resultado nos indica que del total de activos que posee el </w:t>
      </w:r>
      <w:r w:rsidR="00E0378C">
        <w:rPr>
          <w:rFonts w:ascii="Tahoma" w:hAnsi="Tahoma" w:cs="Tahoma"/>
        </w:rPr>
        <w:t xml:space="preserve"> Lotería del Tolima</w:t>
      </w:r>
      <w:r w:rsidRPr="00AD4CE9">
        <w:rPr>
          <w:rFonts w:ascii="Tahoma" w:hAnsi="Tahoma" w:cs="Tahoma"/>
        </w:rPr>
        <w:t xml:space="preserve">, el </w:t>
      </w:r>
      <w:r w:rsidR="00E0378C">
        <w:rPr>
          <w:rFonts w:ascii="Tahoma" w:hAnsi="Tahoma" w:cs="Tahoma"/>
        </w:rPr>
        <w:t>19.18</w:t>
      </w:r>
      <w:r w:rsidRPr="00AD4CE9">
        <w:rPr>
          <w:rFonts w:ascii="Tahoma" w:hAnsi="Tahoma" w:cs="Tahoma"/>
        </w:rPr>
        <w:t>% está siendo financiado por los acreedores.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RAZÓN DEL PATRIMONIO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Nos muestra hasta </w:t>
      </w:r>
      <w:r w:rsidR="009F3F48" w:rsidRPr="00AD4CE9">
        <w:rPr>
          <w:rFonts w:ascii="Tahoma" w:hAnsi="Tahoma" w:cs="Tahoma"/>
        </w:rPr>
        <w:t>qué</w:t>
      </w:r>
      <w:r w:rsidRPr="00AD4CE9">
        <w:rPr>
          <w:rFonts w:ascii="Tahoma" w:hAnsi="Tahoma" w:cs="Tahoma"/>
        </w:rPr>
        <w:t xml:space="preserve"> punto la entidad tiene independencia financiera ante sus acreedores, se determina dividiendo el valor del patrimonio entre el activo total.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Formula: Patrimonio Total / Activo Total</w:t>
      </w:r>
    </w:p>
    <w:p w:rsidR="003E25A9" w:rsidRPr="00AD4CE9" w:rsidRDefault="003E25A9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3E25A9" w:rsidRPr="00AD4CE9" w:rsidRDefault="00764ABD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$</w:t>
      </w:r>
      <w:r w:rsidR="00E0378C">
        <w:rPr>
          <w:rFonts w:ascii="Tahoma" w:hAnsi="Tahoma" w:cs="Tahoma"/>
        </w:rPr>
        <w:t>4.208.562 /$9.739.209</w:t>
      </w:r>
      <w:r w:rsidR="00E0378C" w:rsidRPr="00AD4CE9">
        <w:rPr>
          <w:rFonts w:ascii="Tahoma" w:hAnsi="Tahoma" w:cs="Tahoma"/>
        </w:rPr>
        <w:t xml:space="preserve"> </w:t>
      </w:r>
      <w:r w:rsidR="005A36ED" w:rsidRPr="00AD4CE9">
        <w:rPr>
          <w:rFonts w:ascii="Tahoma" w:hAnsi="Tahoma" w:cs="Tahoma"/>
        </w:rPr>
        <w:t xml:space="preserve"> </w:t>
      </w:r>
      <w:r w:rsidR="00E0378C">
        <w:rPr>
          <w:rFonts w:ascii="Tahoma" w:hAnsi="Tahoma" w:cs="Tahoma"/>
        </w:rPr>
        <w:t>= 43.21</w:t>
      </w:r>
      <w:r w:rsidRPr="00AD4CE9">
        <w:rPr>
          <w:rFonts w:ascii="Tahoma" w:hAnsi="Tahoma" w:cs="Tahoma"/>
        </w:rPr>
        <w:t>%</w:t>
      </w: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8326D2" w:rsidRPr="00AD4CE9" w:rsidRDefault="008326D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>El porcentaje establecido a</w:t>
      </w:r>
      <w:r w:rsidR="00402C3D">
        <w:rPr>
          <w:rFonts w:ascii="Tahoma" w:hAnsi="Tahoma" w:cs="Tahoma"/>
        </w:rPr>
        <w:t>nter</w:t>
      </w:r>
      <w:r w:rsidR="00E0378C">
        <w:rPr>
          <w:rFonts w:ascii="Tahoma" w:hAnsi="Tahoma" w:cs="Tahoma"/>
        </w:rPr>
        <w:t>iormente nos indica que el 43.21</w:t>
      </w:r>
      <w:r w:rsidRPr="00AD4CE9">
        <w:rPr>
          <w:rFonts w:ascii="Tahoma" w:hAnsi="Tahoma" w:cs="Tahoma"/>
        </w:rPr>
        <w:t>% de los activos, están siendo financiados con capital propio.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6756E8" w:rsidP="00AD4CE9">
      <w:pPr>
        <w:pStyle w:val="Prrafodelista"/>
        <w:numPr>
          <w:ilvl w:val="0"/>
          <w:numId w:val="50"/>
        </w:numPr>
        <w:spacing w:before="0" w:after="0" w:line="228" w:lineRule="auto"/>
        <w:jc w:val="both"/>
        <w:rPr>
          <w:rFonts w:ascii="Tahoma" w:hAnsi="Tahoma" w:cs="Tahoma"/>
          <w:b/>
        </w:rPr>
      </w:pPr>
      <w:r w:rsidRPr="00AD4CE9">
        <w:rPr>
          <w:rFonts w:ascii="Tahoma" w:hAnsi="Tahoma" w:cs="Tahoma"/>
          <w:b/>
        </w:rPr>
        <w:t>CONCEPTUALIZACION SO</w:t>
      </w:r>
      <w:r w:rsidR="00402C3D">
        <w:rPr>
          <w:rFonts w:ascii="Tahoma" w:hAnsi="Tahoma" w:cs="Tahoma"/>
          <w:b/>
        </w:rPr>
        <w:t>BRE LOS ESTADOS FINANCIEROS 2015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6756E8" w:rsidRPr="00AD4CE9" w:rsidRDefault="00E0378C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Lotería del Tolima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 de</w:t>
      </w:r>
      <w:r w:rsidR="005A36ED" w:rsidRPr="00AD4CE9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 xml:space="preserve">acuerdo con su Balance General terminado en la fecha, se observa que sus activos totales crecieron un </w:t>
      </w:r>
      <w:r>
        <w:rPr>
          <w:rFonts w:ascii="Tahoma" w:hAnsi="Tahoma" w:cs="Tahoma"/>
        </w:rPr>
        <w:t>3.37% en la suma de  $9.739.209</w:t>
      </w:r>
      <w:r w:rsidR="00402C3D">
        <w:rPr>
          <w:rFonts w:ascii="Tahoma" w:hAnsi="Tahoma" w:cs="Tahoma"/>
        </w:rPr>
        <w:t xml:space="preserve"> </w:t>
      </w:r>
      <w:r w:rsidR="006756E8" w:rsidRPr="00AD4CE9">
        <w:rPr>
          <w:rFonts w:ascii="Tahoma" w:hAnsi="Tahoma" w:cs="Tahoma"/>
        </w:rPr>
        <w:t>(mi</w:t>
      </w:r>
      <w:r w:rsidR="00402C3D">
        <w:rPr>
          <w:rFonts w:ascii="Tahoma" w:hAnsi="Tahoma" w:cs="Tahoma"/>
        </w:rPr>
        <w:t>l</w:t>
      </w:r>
      <w:r w:rsidR="006756E8" w:rsidRPr="00AD4CE9">
        <w:rPr>
          <w:rFonts w:ascii="Tahoma" w:hAnsi="Tahoma" w:cs="Tahoma"/>
        </w:rPr>
        <w:t xml:space="preserve">es de </w:t>
      </w:r>
      <w:r w:rsidR="00402C3D">
        <w:rPr>
          <w:rFonts w:ascii="Tahoma" w:hAnsi="Tahoma" w:cs="Tahoma"/>
        </w:rPr>
        <w:t>$), con relación al periodo 2014</w:t>
      </w:r>
      <w:r w:rsidR="006756E8" w:rsidRPr="00AD4CE9">
        <w:rPr>
          <w:rFonts w:ascii="Tahoma" w:hAnsi="Tahoma" w:cs="Tahoma"/>
        </w:rPr>
        <w:t>, reflejados en las cuentas Depósitos en Insti</w:t>
      </w:r>
      <w:r w:rsidR="009D16E7">
        <w:rPr>
          <w:rFonts w:ascii="Tahoma" w:hAnsi="Tahoma" w:cs="Tahoma"/>
        </w:rPr>
        <w:t>tuciones Financieras y Otros Activos.</w:t>
      </w:r>
    </w:p>
    <w:p w:rsidR="006756E8" w:rsidRPr="00AD4CE9" w:rsidRDefault="006756E8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9D16E7" w:rsidRDefault="009D16E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 patrimonio creció un 29.48</w:t>
      </w:r>
      <w:r w:rsidR="006756E8" w:rsidRPr="00AD4CE9">
        <w:rPr>
          <w:rFonts w:ascii="Tahoma" w:hAnsi="Tahoma" w:cs="Tahoma"/>
        </w:rPr>
        <w:t>%, apalancado princip</w:t>
      </w:r>
      <w:r>
        <w:rPr>
          <w:rFonts w:ascii="Tahoma" w:hAnsi="Tahoma" w:cs="Tahoma"/>
        </w:rPr>
        <w:t>almente por la cuenta Superávit por Valorización, durante la anualidad 2015 la entidad  registró perdida en el ejercicio en cuantía de $97.1 millones.</w:t>
      </w:r>
    </w:p>
    <w:p w:rsidR="00AD4CE9" w:rsidRPr="00AD4CE9" w:rsidRDefault="009D16E7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 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Su estructura financiera al </w:t>
      </w:r>
      <w:r w:rsidR="00402C3D">
        <w:rPr>
          <w:rFonts w:ascii="Tahoma" w:hAnsi="Tahoma" w:cs="Tahoma"/>
        </w:rPr>
        <w:t>cierre del periodo contable 2015</w:t>
      </w:r>
      <w:r w:rsidR="009D16E7">
        <w:rPr>
          <w:rFonts w:ascii="Tahoma" w:hAnsi="Tahoma" w:cs="Tahoma"/>
        </w:rPr>
        <w:t>, estaba representada en el 56.78% los pasivos y el 43.21</w:t>
      </w:r>
      <w:r w:rsidRPr="00AD4CE9">
        <w:rPr>
          <w:rFonts w:ascii="Tahoma" w:hAnsi="Tahoma" w:cs="Tahoma"/>
        </w:rPr>
        <w:t>% el patrimonio.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0D2062" w:rsidRPr="00AD4CE9" w:rsidRDefault="009D16E7" w:rsidP="00AD4CE9">
      <w:pPr>
        <w:spacing w:before="0" w:after="0" w:line="228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La entidad </w:t>
      </w:r>
      <w:r w:rsidR="000D2062" w:rsidRPr="00AD4CE9">
        <w:rPr>
          <w:rFonts w:ascii="Tahoma" w:hAnsi="Tahoma" w:cs="Tahoma"/>
        </w:rPr>
        <w:t xml:space="preserve"> presenta un nivel de endeudamiento bajo respecto al total de sus activos, alcanzando un margen del </w:t>
      </w:r>
      <w:r>
        <w:rPr>
          <w:rFonts w:ascii="Tahoma" w:hAnsi="Tahoma" w:cs="Tahoma"/>
        </w:rPr>
        <w:t>19.18</w:t>
      </w:r>
      <w:r w:rsidR="000D2062" w:rsidRPr="00AD4CE9">
        <w:rPr>
          <w:rFonts w:ascii="Tahoma" w:hAnsi="Tahoma" w:cs="Tahoma"/>
        </w:rPr>
        <w:t>%.</w:t>
      </w:r>
    </w:p>
    <w:p w:rsidR="000D2062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</w:p>
    <w:p w:rsidR="00A7456E" w:rsidRPr="00AD4CE9" w:rsidRDefault="000D2062" w:rsidP="00AD4CE9">
      <w:pPr>
        <w:spacing w:before="0" w:after="0" w:line="228" w:lineRule="auto"/>
        <w:jc w:val="both"/>
        <w:rPr>
          <w:rFonts w:ascii="Tahoma" w:hAnsi="Tahoma" w:cs="Tahoma"/>
        </w:rPr>
      </w:pPr>
      <w:r w:rsidRPr="00AD4CE9">
        <w:rPr>
          <w:rFonts w:ascii="Tahoma" w:hAnsi="Tahoma" w:cs="Tahoma"/>
        </w:rPr>
        <w:t xml:space="preserve">De acuerdo con los resultados de sus indicadores </w:t>
      </w:r>
      <w:r w:rsidR="00C83948" w:rsidRPr="00AD4CE9">
        <w:rPr>
          <w:rFonts w:ascii="Tahoma" w:hAnsi="Tahoma" w:cs="Tahoma"/>
        </w:rPr>
        <w:t>podemo</w:t>
      </w:r>
      <w:r w:rsidR="00273691">
        <w:rPr>
          <w:rFonts w:ascii="Tahoma" w:hAnsi="Tahoma" w:cs="Tahoma"/>
        </w:rPr>
        <w:t>s concl</w:t>
      </w:r>
      <w:r w:rsidR="009D16E7">
        <w:rPr>
          <w:rFonts w:ascii="Tahoma" w:hAnsi="Tahoma" w:cs="Tahoma"/>
        </w:rPr>
        <w:t xml:space="preserve">uir que la Lotería del Tolima </w:t>
      </w:r>
      <w:r w:rsidR="00C83948" w:rsidRPr="00AD4CE9">
        <w:rPr>
          <w:rFonts w:ascii="Tahoma" w:hAnsi="Tahoma" w:cs="Tahoma"/>
        </w:rPr>
        <w:t>al corte del 3</w:t>
      </w:r>
      <w:r w:rsidR="00273691">
        <w:rPr>
          <w:rFonts w:ascii="Tahoma" w:hAnsi="Tahoma" w:cs="Tahoma"/>
        </w:rPr>
        <w:t>1</w:t>
      </w:r>
      <w:r w:rsidR="00402C3D">
        <w:rPr>
          <w:rFonts w:ascii="Tahoma" w:hAnsi="Tahoma" w:cs="Tahoma"/>
        </w:rPr>
        <w:t xml:space="preserve"> de diciembre de 2015</w:t>
      </w:r>
      <w:r w:rsidR="00C83948" w:rsidRPr="00AD4CE9">
        <w:rPr>
          <w:rFonts w:ascii="Tahoma" w:hAnsi="Tahoma" w:cs="Tahoma"/>
        </w:rPr>
        <w:t>, presentaba una situación financiera favorable.</w:t>
      </w:r>
    </w:p>
    <w:sectPr w:rsidR="00A7456E" w:rsidRPr="00AD4CE9" w:rsidSect="00454B8B">
      <w:headerReference w:type="default" r:id="rId12"/>
      <w:footerReference w:type="default" r:id="rId13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8EB" w:rsidRDefault="004878EB" w:rsidP="00650A99">
      <w:r>
        <w:separator/>
      </w:r>
    </w:p>
  </w:endnote>
  <w:endnote w:type="continuationSeparator" w:id="0">
    <w:p w:rsidR="004878EB" w:rsidRDefault="004878EB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Pr="00070555" w:rsidRDefault="002F54E8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Pr="003205FF" w:rsidRDefault="00440EAB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="003205FF"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11219D" w:rsidRPr="0011219D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6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="003205FF"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11219D" w:rsidRPr="0011219D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DD0981" w:rsidRPr="003205FF" w:rsidRDefault="00440EAB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="003205FF"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11219D" w:rsidRPr="0011219D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6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="003205FF"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11219D" w:rsidRPr="0011219D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7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0981" w:rsidRDefault="00DD09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DD0981" w:rsidRDefault="00DD0981"/>
                </w:txbxContent>
              </v:textbox>
            </v:shape>
          </w:pict>
        </mc:Fallback>
      </mc:AlternateContent>
    </w:r>
  </w:p>
  <w:p w:rsidR="00DD0981" w:rsidRPr="00070555" w:rsidRDefault="002F54E8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3205FF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3205FF" w:rsidRPr="003205FF" w:rsidRDefault="0011219D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3205FF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DD0981" w:rsidRPr="000352F0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Web-</w:t>
                          </w:r>
                          <w:proofErr w:type="spellStart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Site</w:t>
                          </w:r>
                          <w:proofErr w:type="spellEnd"/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DD0981" w:rsidRPr="00BB3D88" w:rsidRDefault="003205FF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="00DD0981"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DD0981" w:rsidRPr="00A926CE" w:rsidRDefault="00DD0981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3205FF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3205FF" w:rsidRPr="003205FF" w:rsidRDefault="0011219D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3205FF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DD0981" w:rsidRPr="000352F0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Web-</w:t>
                    </w:r>
                    <w:proofErr w:type="spellStart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>Site</w:t>
                    </w:r>
                    <w:proofErr w:type="spellEnd"/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DD0981" w:rsidRPr="00BB3D88" w:rsidRDefault="003205FF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="00DD0981"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DD0981" w:rsidRPr="00A926CE" w:rsidRDefault="00DD0981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8EB" w:rsidRDefault="004878EB" w:rsidP="00650A99">
      <w:r>
        <w:separator/>
      </w:r>
    </w:p>
  </w:footnote>
  <w:footnote w:type="continuationSeparator" w:id="0">
    <w:p w:rsidR="004878EB" w:rsidRDefault="004878EB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1" w:rsidRDefault="00082967">
    <w:pPr>
      <w:pStyle w:val="Encabezado"/>
    </w:pPr>
    <w:r>
      <w:rPr>
        <w:noProof/>
      </w:rPr>
      <w:drawing>
        <wp:inline distT="0" distB="0" distL="0" distR="0">
          <wp:extent cx="1455089" cy="1081377"/>
          <wp:effectExtent l="0" t="0" r="0" b="508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260" cy="1083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167CA"/>
    <w:rsid w:val="00025419"/>
    <w:rsid w:val="0003468E"/>
    <w:rsid w:val="000352F0"/>
    <w:rsid w:val="0004345F"/>
    <w:rsid w:val="00043E5E"/>
    <w:rsid w:val="00044B50"/>
    <w:rsid w:val="000467A1"/>
    <w:rsid w:val="000479B3"/>
    <w:rsid w:val="0005757F"/>
    <w:rsid w:val="00062A7C"/>
    <w:rsid w:val="00063566"/>
    <w:rsid w:val="00070555"/>
    <w:rsid w:val="0007281C"/>
    <w:rsid w:val="00073152"/>
    <w:rsid w:val="000732A3"/>
    <w:rsid w:val="00074463"/>
    <w:rsid w:val="00074EF9"/>
    <w:rsid w:val="00081AAB"/>
    <w:rsid w:val="00082967"/>
    <w:rsid w:val="00084FFA"/>
    <w:rsid w:val="000913E2"/>
    <w:rsid w:val="000A4FDA"/>
    <w:rsid w:val="000A5F72"/>
    <w:rsid w:val="000B2584"/>
    <w:rsid w:val="000C640F"/>
    <w:rsid w:val="000C699D"/>
    <w:rsid w:val="000D2062"/>
    <w:rsid w:val="000D715E"/>
    <w:rsid w:val="000E117C"/>
    <w:rsid w:val="000E1460"/>
    <w:rsid w:val="000E42DA"/>
    <w:rsid w:val="000E46FA"/>
    <w:rsid w:val="000F17B4"/>
    <w:rsid w:val="000F4FA1"/>
    <w:rsid w:val="001077DC"/>
    <w:rsid w:val="0011219D"/>
    <w:rsid w:val="00124F58"/>
    <w:rsid w:val="0012564A"/>
    <w:rsid w:val="001301DF"/>
    <w:rsid w:val="00131E4E"/>
    <w:rsid w:val="00132C47"/>
    <w:rsid w:val="0013431C"/>
    <w:rsid w:val="001361E3"/>
    <w:rsid w:val="0014091C"/>
    <w:rsid w:val="0014199D"/>
    <w:rsid w:val="001531E5"/>
    <w:rsid w:val="00154430"/>
    <w:rsid w:val="001605A0"/>
    <w:rsid w:val="00160B31"/>
    <w:rsid w:val="001666F5"/>
    <w:rsid w:val="0017250D"/>
    <w:rsid w:val="001A5473"/>
    <w:rsid w:val="001B7E9B"/>
    <w:rsid w:val="001D30AE"/>
    <w:rsid w:val="001E0386"/>
    <w:rsid w:val="001E19D5"/>
    <w:rsid w:val="001E2459"/>
    <w:rsid w:val="001E6C74"/>
    <w:rsid w:val="001F3E0C"/>
    <w:rsid w:val="00203B8E"/>
    <w:rsid w:val="002049C5"/>
    <w:rsid w:val="00204E7B"/>
    <w:rsid w:val="00216974"/>
    <w:rsid w:val="00224140"/>
    <w:rsid w:val="00226503"/>
    <w:rsid w:val="002467D6"/>
    <w:rsid w:val="00250B2A"/>
    <w:rsid w:val="00254A87"/>
    <w:rsid w:val="002608D4"/>
    <w:rsid w:val="00267A53"/>
    <w:rsid w:val="002702FE"/>
    <w:rsid w:val="00273691"/>
    <w:rsid w:val="002751D2"/>
    <w:rsid w:val="002855A9"/>
    <w:rsid w:val="00293B22"/>
    <w:rsid w:val="00293DE7"/>
    <w:rsid w:val="00294FB6"/>
    <w:rsid w:val="00297AD1"/>
    <w:rsid w:val="002A5283"/>
    <w:rsid w:val="002C24CB"/>
    <w:rsid w:val="002C31ED"/>
    <w:rsid w:val="002D03DF"/>
    <w:rsid w:val="002D3A88"/>
    <w:rsid w:val="002D62AF"/>
    <w:rsid w:val="002E1436"/>
    <w:rsid w:val="002E494A"/>
    <w:rsid w:val="002E7240"/>
    <w:rsid w:val="002F54E8"/>
    <w:rsid w:val="003026A2"/>
    <w:rsid w:val="00303824"/>
    <w:rsid w:val="00306CC6"/>
    <w:rsid w:val="0031286D"/>
    <w:rsid w:val="003205FF"/>
    <w:rsid w:val="00321EC8"/>
    <w:rsid w:val="003305B2"/>
    <w:rsid w:val="00332DE4"/>
    <w:rsid w:val="00334968"/>
    <w:rsid w:val="00341B3E"/>
    <w:rsid w:val="00351487"/>
    <w:rsid w:val="00356B3F"/>
    <w:rsid w:val="00367CB1"/>
    <w:rsid w:val="00372F40"/>
    <w:rsid w:val="00375CC7"/>
    <w:rsid w:val="0039183D"/>
    <w:rsid w:val="00391C14"/>
    <w:rsid w:val="00397766"/>
    <w:rsid w:val="003A5822"/>
    <w:rsid w:val="003B11DD"/>
    <w:rsid w:val="003B72A8"/>
    <w:rsid w:val="003B7F8F"/>
    <w:rsid w:val="003C0774"/>
    <w:rsid w:val="003C5E57"/>
    <w:rsid w:val="003D499A"/>
    <w:rsid w:val="003D5BDF"/>
    <w:rsid w:val="003E25A9"/>
    <w:rsid w:val="003F5E08"/>
    <w:rsid w:val="00402C3D"/>
    <w:rsid w:val="004032C1"/>
    <w:rsid w:val="00407637"/>
    <w:rsid w:val="004120E2"/>
    <w:rsid w:val="00426FB0"/>
    <w:rsid w:val="00430D77"/>
    <w:rsid w:val="00440EAB"/>
    <w:rsid w:val="00452E65"/>
    <w:rsid w:val="00454B8B"/>
    <w:rsid w:val="00461871"/>
    <w:rsid w:val="00466271"/>
    <w:rsid w:val="0046718C"/>
    <w:rsid w:val="004674EF"/>
    <w:rsid w:val="00467508"/>
    <w:rsid w:val="00467595"/>
    <w:rsid w:val="00480FCA"/>
    <w:rsid w:val="0048203B"/>
    <w:rsid w:val="004878EB"/>
    <w:rsid w:val="0049303C"/>
    <w:rsid w:val="00496461"/>
    <w:rsid w:val="004A00E3"/>
    <w:rsid w:val="004B3739"/>
    <w:rsid w:val="004C10FE"/>
    <w:rsid w:val="004C250E"/>
    <w:rsid w:val="004C27B6"/>
    <w:rsid w:val="004E17F3"/>
    <w:rsid w:val="004E3F57"/>
    <w:rsid w:val="004E585C"/>
    <w:rsid w:val="004F2F93"/>
    <w:rsid w:val="004F4C50"/>
    <w:rsid w:val="00506345"/>
    <w:rsid w:val="00516E68"/>
    <w:rsid w:val="00520FA4"/>
    <w:rsid w:val="0052650A"/>
    <w:rsid w:val="005279E8"/>
    <w:rsid w:val="00541CC9"/>
    <w:rsid w:val="00551920"/>
    <w:rsid w:val="00552A0E"/>
    <w:rsid w:val="00556949"/>
    <w:rsid w:val="00560B0C"/>
    <w:rsid w:val="00560CA3"/>
    <w:rsid w:val="00562B5C"/>
    <w:rsid w:val="00563F32"/>
    <w:rsid w:val="00585BCF"/>
    <w:rsid w:val="00585ED0"/>
    <w:rsid w:val="00590A7E"/>
    <w:rsid w:val="005916D2"/>
    <w:rsid w:val="00595ED2"/>
    <w:rsid w:val="005A36ED"/>
    <w:rsid w:val="005A4F01"/>
    <w:rsid w:val="005B6F12"/>
    <w:rsid w:val="005C163A"/>
    <w:rsid w:val="005C3743"/>
    <w:rsid w:val="005D533E"/>
    <w:rsid w:val="005D66B0"/>
    <w:rsid w:val="005E1DE9"/>
    <w:rsid w:val="005E5E78"/>
    <w:rsid w:val="005F356A"/>
    <w:rsid w:val="00603A0F"/>
    <w:rsid w:val="00603AAD"/>
    <w:rsid w:val="00605900"/>
    <w:rsid w:val="006068E9"/>
    <w:rsid w:val="006074FF"/>
    <w:rsid w:val="00617A76"/>
    <w:rsid w:val="00617E98"/>
    <w:rsid w:val="00630301"/>
    <w:rsid w:val="00644A95"/>
    <w:rsid w:val="00650A99"/>
    <w:rsid w:val="00652DA3"/>
    <w:rsid w:val="0065368E"/>
    <w:rsid w:val="00654211"/>
    <w:rsid w:val="00670D69"/>
    <w:rsid w:val="00672971"/>
    <w:rsid w:val="006756E8"/>
    <w:rsid w:val="0067758A"/>
    <w:rsid w:val="00682027"/>
    <w:rsid w:val="00687B70"/>
    <w:rsid w:val="00692975"/>
    <w:rsid w:val="006A5FCB"/>
    <w:rsid w:val="006B765E"/>
    <w:rsid w:val="006C051C"/>
    <w:rsid w:val="006D20E4"/>
    <w:rsid w:val="006D2B4A"/>
    <w:rsid w:val="00700DB0"/>
    <w:rsid w:val="0070120A"/>
    <w:rsid w:val="007062D9"/>
    <w:rsid w:val="00706545"/>
    <w:rsid w:val="00745063"/>
    <w:rsid w:val="00747180"/>
    <w:rsid w:val="00754337"/>
    <w:rsid w:val="00764ABD"/>
    <w:rsid w:val="00770276"/>
    <w:rsid w:val="00770ADC"/>
    <w:rsid w:val="00771928"/>
    <w:rsid w:val="00773282"/>
    <w:rsid w:val="00796DDA"/>
    <w:rsid w:val="007B4882"/>
    <w:rsid w:val="007B70F7"/>
    <w:rsid w:val="007B72D9"/>
    <w:rsid w:val="007C4270"/>
    <w:rsid w:val="007F7C04"/>
    <w:rsid w:val="00800EEF"/>
    <w:rsid w:val="008036D7"/>
    <w:rsid w:val="00814D3D"/>
    <w:rsid w:val="00815D0B"/>
    <w:rsid w:val="00820529"/>
    <w:rsid w:val="00821EDD"/>
    <w:rsid w:val="00827082"/>
    <w:rsid w:val="00832014"/>
    <w:rsid w:val="008326D2"/>
    <w:rsid w:val="00862966"/>
    <w:rsid w:val="00872CA8"/>
    <w:rsid w:val="008761A0"/>
    <w:rsid w:val="00897455"/>
    <w:rsid w:val="008A0D33"/>
    <w:rsid w:val="008A0D90"/>
    <w:rsid w:val="008A1B70"/>
    <w:rsid w:val="008A5D7F"/>
    <w:rsid w:val="008E2ADB"/>
    <w:rsid w:val="008E40B7"/>
    <w:rsid w:val="008E6775"/>
    <w:rsid w:val="008F3AAB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71EB"/>
    <w:rsid w:val="00957662"/>
    <w:rsid w:val="009606B3"/>
    <w:rsid w:val="00966EAD"/>
    <w:rsid w:val="00990B51"/>
    <w:rsid w:val="00991F22"/>
    <w:rsid w:val="009C0615"/>
    <w:rsid w:val="009D16E7"/>
    <w:rsid w:val="009D7ECE"/>
    <w:rsid w:val="009F0EF0"/>
    <w:rsid w:val="009F3F48"/>
    <w:rsid w:val="00A04FA7"/>
    <w:rsid w:val="00A22617"/>
    <w:rsid w:val="00A32BD8"/>
    <w:rsid w:val="00A34FD5"/>
    <w:rsid w:val="00A43B37"/>
    <w:rsid w:val="00A44F64"/>
    <w:rsid w:val="00A47CA0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A22C9"/>
    <w:rsid w:val="00AA75DD"/>
    <w:rsid w:val="00AB37B1"/>
    <w:rsid w:val="00AC2B0C"/>
    <w:rsid w:val="00AC6DD0"/>
    <w:rsid w:val="00AD4CE9"/>
    <w:rsid w:val="00AD56DB"/>
    <w:rsid w:val="00AE45E6"/>
    <w:rsid w:val="00AF71D3"/>
    <w:rsid w:val="00B0252C"/>
    <w:rsid w:val="00B11E2E"/>
    <w:rsid w:val="00B179EC"/>
    <w:rsid w:val="00B17D06"/>
    <w:rsid w:val="00B21A6F"/>
    <w:rsid w:val="00B229DE"/>
    <w:rsid w:val="00B235FD"/>
    <w:rsid w:val="00B245DE"/>
    <w:rsid w:val="00B258AA"/>
    <w:rsid w:val="00B34497"/>
    <w:rsid w:val="00B430BE"/>
    <w:rsid w:val="00B5291B"/>
    <w:rsid w:val="00B6483D"/>
    <w:rsid w:val="00B65897"/>
    <w:rsid w:val="00B7024B"/>
    <w:rsid w:val="00B74F06"/>
    <w:rsid w:val="00B773B4"/>
    <w:rsid w:val="00B83BF2"/>
    <w:rsid w:val="00B8540B"/>
    <w:rsid w:val="00B97673"/>
    <w:rsid w:val="00BB2EB5"/>
    <w:rsid w:val="00BB3D88"/>
    <w:rsid w:val="00BC5D7D"/>
    <w:rsid w:val="00BD3082"/>
    <w:rsid w:val="00BE325A"/>
    <w:rsid w:val="00C0423C"/>
    <w:rsid w:val="00C06948"/>
    <w:rsid w:val="00C20CA8"/>
    <w:rsid w:val="00C220D6"/>
    <w:rsid w:val="00C276A2"/>
    <w:rsid w:val="00C334D1"/>
    <w:rsid w:val="00C35423"/>
    <w:rsid w:val="00C36BE7"/>
    <w:rsid w:val="00C404DC"/>
    <w:rsid w:val="00C43064"/>
    <w:rsid w:val="00C54674"/>
    <w:rsid w:val="00C661A2"/>
    <w:rsid w:val="00C6685D"/>
    <w:rsid w:val="00C70370"/>
    <w:rsid w:val="00C81FC2"/>
    <w:rsid w:val="00C83948"/>
    <w:rsid w:val="00C86E28"/>
    <w:rsid w:val="00CA340D"/>
    <w:rsid w:val="00CB47E0"/>
    <w:rsid w:val="00CC0170"/>
    <w:rsid w:val="00CC38D6"/>
    <w:rsid w:val="00CC74DC"/>
    <w:rsid w:val="00CD5CCB"/>
    <w:rsid w:val="00CE3D10"/>
    <w:rsid w:val="00CE6524"/>
    <w:rsid w:val="00CF0493"/>
    <w:rsid w:val="00CF6745"/>
    <w:rsid w:val="00D42439"/>
    <w:rsid w:val="00D718F8"/>
    <w:rsid w:val="00D71C09"/>
    <w:rsid w:val="00D774B6"/>
    <w:rsid w:val="00D81436"/>
    <w:rsid w:val="00DA07E0"/>
    <w:rsid w:val="00DA76D0"/>
    <w:rsid w:val="00DB2278"/>
    <w:rsid w:val="00DD0981"/>
    <w:rsid w:val="00DD5CA9"/>
    <w:rsid w:val="00DE19DF"/>
    <w:rsid w:val="00E00EAB"/>
    <w:rsid w:val="00E0378C"/>
    <w:rsid w:val="00E06024"/>
    <w:rsid w:val="00E16EF6"/>
    <w:rsid w:val="00E35BA6"/>
    <w:rsid w:val="00E37DA4"/>
    <w:rsid w:val="00E438FA"/>
    <w:rsid w:val="00E44E11"/>
    <w:rsid w:val="00E562E9"/>
    <w:rsid w:val="00E745B9"/>
    <w:rsid w:val="00E80CF1"/>
    <w:rsid w:val="00E90250"/>
    <w:rsid w:val="00EC5776"/>
    <w:rsid w:val="00ED18CB"/>
    <w:rsid w:val="00F067EF"/>
    <w:rsid w:val="00F11CE8"/>
    <w:rsid w:val="00F152E9"/>
    <w:rsid w:val="00F413A2"/>
    <w:rsid w:val="00F57D5F"/>
    <w:rsid w:val="00F64422"/>
    <w:rsid w:val="00F74A4C"/>
    <w:rsid w:val="00FA4C6D"/>
    <w:rsid w:val="00FB1D70"/>
    <w:rsid w:val="00FC413F"/>
    <w:rsid w:val="00FD1869"/>
    <w:rsid w:val="00FD52EC"/>
    <w:rsid w:val="00FD7C62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A4F46DBC-FE79-428C-A827-CF3D9A59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Lida%20Fernanda\Desktop\informe%20fiscal%20y%20financiero\informe%20lida%20segunda%20parte\Loteria%20del%20Tolima\Cuadro%20Comparativo.xls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1" i="0" u="none" strike="noStrike" baseline="0">
                <a:solidFill>
                  <a:srgbClr val="000000"/>
                </a:solidFill>
                <a:latin typeface="Calibri"/>
              </a:rPr>
              <a:t>Balance General Comparativo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s-CO" sz="1400" b="0" i="0" u="none" strike="noStrike" baseline="0">
                <a:solidFill>
                  <a:srgbClr val="000000"/>
                </a:solidFill>
                <a:latin typeface="Calibri"/>
              </a:rPr>
              <a:t>(miles de pesos)</a:t>
            </a:r>
          </a:p>
        </c:rich>
      </c:tx>
      <c:layout/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Graficas!$B$3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Graficas!$B$4:$B$6</c:f>
              <c:numCache>
                <c:formatCode>#,##0</c:formatCode>
                <c:ptCount val="3"/>
                <c:pt idx="0" formatCode="0">
                  <c:v>9739209</c:v>
                </c:pt>
                <c:pt idx="1">
                  <c:v>5530647</c:v>
                </c:pt>
                <c:pt idx="2" formatCode="0">
                  <c:v>4208562</c:v>
                </c:pt>
              </c:numCache>
            </c:numRef>
          </c:val>
        </c:ser>
        <c:ser>
          <c:idx val="1"/>
          <c:order val="1"/>
          <c:tx>
            <c:strRef>
              <c:f>Graficas!$C$3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666666666666664E-2"/>
                  <c:y val="1.851851851851851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es-CO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s-CO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Graficas!$A$4:$A$6</c:f>
              <c:strCache>
                <c:ptCount val="3"/>
                <c:pt idx="0">
                  <c:v>ACTIVOS </c:v>
                </c:pt>
                <c:pt idx="1">
                  <c:v>PASIVOS </c:v>
                </c:pt>
                <c:pt idx="2">
                  <c:v>PATRIMONIO </c:v>
                </c:pt>
              </c:strCache>
            </c:strRef>
          </c:cat>
          <c:val>
            <c:numRef>
              <c:f>Graficas!$C$4:$C$6</c:f>
              <c:numCache>
                <c:formatCode>0</c:formatCode>
                <c:ptCount val="3"/>
                <c:pt idx="0">
                  <c:v>9421434</c:v>
                </c:pt>
                <c:pt idx="1">
                  <c:v>6171166</c:v>
                </c:pt>
                <c:pt idx="2">
                  <c:v>3250268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237972016"/>
        <c:axId val="-237971472"/>
        <c:axId val="0"/>
      </c:bar3DChart>
      <c:catAx>
        <c:axId val="-23797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-237971472"/>
        <c:crosses val="autoZero"/>
        <c:auto val="1"/>
        <c:lblAlgn val="ctr"/>
        <c:lblOffset val="100"/>
        <c:noMultiLvlLbl val="0"/>
      </c:catAx>
      <c:valAx>
        <c:axId val="-237971472"/>
        <c:scaling>
          <c:orientation val="minMax"/>
        </c:scaling>
        <c:delete val="0"/>
        <c:axPos val="l"/>
        <c:majorGridlines/>
        <c:numFmt formatCode="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-2379720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s-CO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CO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7</Pages>
  <Words>1189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USER</cp:lastModifiedBy>
  <cp:revision>10</cp:revision>
  <cp:lastPrinted>2016-12-25T21:39:00Z</cp:lastPrinted>
  <dcterms:created xsi:type="dcterms:W3CDTF">2015-09-24T21:09:00Z</dcterms:created>
  <dcterms:modified xsi:type="dcterms:W3CDTF">2016-12-25T21:40:00Z</dcterms:modified>
</cp:coreProperties>
</file>