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715B59">
      <w:pPr>
        <w:spacing w:before="0" w:after="0" w:line="228" w:lineRule="auto"/>
        <w:jc w:val="both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0F1700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1617F8" w:rsidP="00AD4CE9">
      <w:pPr>
        <w:spacing w:before="0" w:after="0" w:line="228" w:lineRule="auto"/>
        <w:rPr>
          <w:rFonts w:ascii="Tahoma" w:hAnsi="Tahoma" w:cs="Tahoma"/>
          <w:noProof/>
        </w:rPr>
      </w:pPr>
      <w:r w:rsidRPr="001617F8">
        <w:rPr>
          <w:noProof/>
        </w:rPr>
        <w:drawing>
          <wp:inline distT="0" distB="0" distL="0" distR="0" wp14:anchorId="6ABDFCCD" wp14:editId="159843EE">
            <wp:extent cx="5613400" cy="5575574"/>
            <wp:effectExtent l="0" t="0" r="635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575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1617F8" w:rsidP="00AD4CE9">
      <w:pPr>
        <w:spacing w:before="0" w:after="0" w:line="228" w:lineRule="auto"/>
        <w:rPr>
          <w:rFonts w:ascii="Tahoma" w:hAnsi="Tahoma" w:cs="Tahoma"/>
          <w:noProof/>
        </w:rPr>
      </w:pPr>
      <w:r>
        <w:rPr>
          <w:noProof/>
        </w:rPr>
        <w:drawing>
          <wp:inline distT="0" distB="0" distL="0" distR="0" wp14:anchorId="4D6998F3" wp14:editId="7459F819">
            <wp:extent cx="4305300" cy="28956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F56475" w:rsidRDefault="00F56475" w:rsidP="00AD4CE9">
      <w:pPr>
        <w:spacing w:before="0" w:after="0" w:line="228" w:lineRule="auto"/>
        <w:rPr>
          <w:rFonts w:ascii="Tahoma" w:hAnsi="Tahoma" w:cs="Tahoma"/>
        </w:rPr>
      </w:pPr>
    </w:p>
    <w:p w:rsidR="009E01E8" w:rsidRDefault="009E01E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Balance General consolidado del Municipio de Piedras, refleja a 31 de diciembre de 2015 unos Activos valorizados en $55.116,6 millones, Pasivos en $3.682,1 millones y un Patrimonio de $51.434,5 millones.</w:t>
      </w:r>
    </w:p>
    <w:p w:rsidR="009E01E8" w:rsidRDefault="009E01E8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E01E8" w:rsidRDefault="009E01E8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total de activos presenta entre las vigencias 2014 y 2015 un incremento del 5.15% pasando del 2014  con ($</w:t>
      </w:r>
      <w:r w:rsidR="00A846EB">
        <w:rPr>
          <w:rFonts w:ascii="Tahoma" w:hAnsi="Tahoma" w:cs="Tahoma"/>
        </w:rPr>
        <w:t>52.419,4 millones) al 2015 con ($55.116 millones).</w:t>
      </w:r>
    </w:p>
    <w:p w:rsidR="00A846EB" w:rsidRDefault="00A846E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A846EB" w:rsidRDefault="00A846E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las cuentas del Activo, se encuentra la cuenta del “Efectivo” cuyo saldo presenta una disminución entre las dos vigencias de $93.366 millones (variación negativa del 1.39%) al pasar en el 2014 de $6.694,6 millones a $6.601,3 millones en el 2015.</w:t>
      </w:r>
    </w:p>
    <w:p w:rsidR="00A846EB" w:rsidRDefault="00A846E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A846EB" w:rsidRDefault="00A846E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Muestra preocupación el hecho de que el saldo de la cuenta “CAJA” no quede en cero al finalizar la vigencia, pues en el 2014 había finalizado con un saldo de $6.4 millones y para el 2015, su saldo se ve incrementado en un 8.14% alcanzando al finalizar la anualidad un saldo de $6.9 millones.</w:t>
      </w:r>
    </w:p>
    <w:p w:rsidR="00A846EB" w:rsidRDefault="00A846E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A846EB" w:rsidRDefault="00A846E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</w:t>
      </w:r>
      <w:r w:rsidRPr="00A846EB">
        <w:rPr>
          <w:rFonts w:ascii="Tahoma" w:hAnsi="Tahoma" w:cs="Tahoma"/>
          <w:b/>
        </w:rPr>
        <w:t>DEPOSITOS E INSTITUCIONES FINANCIERA</w:t>
      </w:r>
      <w:r>
        <w:rPr>
          <w:rFonts w:ascii="Tahoma" w:hAnsi="Tahoma" w:cs="Tahoma"/>
        </w:rPr>
        <w:t>S” por su parte presenta una disminución del 1.25% pasando del 2014 en  $6.678 millones a $6.594,3 millones en el 2015.</w:t>
      </w:r>
      <w:r w:rsidR="00B648B1">
        <w:rPr>
          <w:rFonts w:ascii="Tahoma" w:hAnsi="Tahoma" w:cs="Tahoma"/>
        </w:rPr>
        <w:t xml:space="preserve">  Dentro de este grupo se observa que el 78.71% de los recursos se encuentran depositados en cuentas de ahorro mientras que el 21.28% finaliza la vigencia consignados los recursos en cuentas corrientes.</w:t>
      </w: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Los recursos de las Cuentas Corrientes, presentaron una disminución del 30.09% pasando de $2.008 millones en el 2014 a $1.403,7 millones en el 2015.  Los recursos de las cuentas de ahorro por su parte presentaron un incremento del 11.15% finalizando la vigencia en $5.190,5 millones cuando en el 2014 tan solo había registrado la suma de $4.670 millones.</w:t>
      </w: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Recursos depositados como “Fondos en Tránsito” disminuyeron en un 100% pasando de 10.1 millones en el 2014 a $0 en el 2015.</w:t>
      </w: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“Inversiones e instrumentos derivados” no presentan ninguna variación entre las dos vigencias finalizando con el mismo saldo de $1.009 millones.</w:t>
      </w: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648B1" w:rsidRDefault="00B648B1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“Rentas por Cobrar” </w:t>
      </w:r>
      <w:r w:rsidR="00313CA5">
        <w:rPr>
          <w:rFonts w:ascii="Tahoma" w:hAnsi="Tahoma" w:cs="Tahoma"/>
        </w:rPr>
        <w:t>finalizan la anualidad 2015 en $457,3 millones con una variación negativa del 11.95% al obtener al final de la anualidad 2014 una contabilización en dicha cuenta de $519.4 millones.  Del total registrado en el 2015 ($457.3 millones) el 9.95% corresponde a cartera de vigencia actual mientras que el 90% restante corresponde a cartera de vigencias anteriores sobre las cuales se debe realizar gestión de cobro en aras de percibir recursos y disminuir con ello el saldo registrado.</w:t>
      </w: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Balance General de igual forma registra la cuenta de inventarios con un saldo de $58.4 millones saldo que permaneció constante entre las dos vigencias.</w:t>
      </w: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“Propiedad, Planta y Equipo” presenta un incremento del 3.81% representado en $1.024.8 millones al pasar de $26.577,3 millones en el 2014 a $27.602,2 millones en el 2015.</w:t>
      </w: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Bienes de Uso Público al igual que los inventarios no presentaron ninguna variación entre las dos vigencias registrando al finalizar el 2015 un saldo de $5.473,7 millones.</w:t>
      </w: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313CA5" w:rsidRDefault="00313CA5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Cuenta “Otros Activos” </w:t>
      </w:r>
      <w:r w:rsidR="00FE754B">
        <w:rPr>
          <w:rFonts w:ascii="Tahoma" w:hAnsi="Tahoma" w:cs="Tahoma"/>
        </w:rPr>
        <w:t>incrementaron el 12.70% el saldo alcanzado en el 2014 al pasar de $10.908,5 millones a $12.293,8 millones en el 2015.</w:t>
      </w: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Pasivos, se puede observar que los mismos obtuvieron una variación mínima del 0.06% pasando de $3.680,1 millones en el 2014 a $3.682.1 millones en el 2015.</w:t>
      </w: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mayor representatividad de los pasivos recae sobre la cuenta de “Pasivos Estimados”, los cuales representan el 84.14% del total del pasivo, cuenta que si bien disminuyo el saldo del 2014 en un 4.04%  se mantiene contabilizado en la misma la suma de $3.098,2 millones.</w:t>
      </w: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deuda adquirida a través del crédito Público no presenta ninguna variación permaneciendo constante entre las vigencias 2014 y 2015 el saldo de $177,2 millones.</w:t>
      </w: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“Cuentas por Cobrar” presentan un incremento porcentual representativo del 296.09% pasando de unas deudas en el 2014 de 83.5 millones a $330.9 millones en el 2015.</w:t>
      </w: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FE754B" w:rsidRDefault="00FE754B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Patrimonio Total del municipio a 31-12-2015 ascendió a $51.434,5 millones saldo que presentó un incremento del 5.53%</w:t>
      </w:r>
      <w:r w:rsidR="00847EEE">
        <w:rPr>
          <w:rFonts w:ascii="Tahoma" w:hAnsi="Tahoma" w:cs="Tahoma"/>
        </w:rPr>
        <w:t xml:space="preserve"> frente a lo contabilizado en el 2014  el cual finaliza en $48.739,3 millones.</w:t>
      </w:r>
    </w:p>
    <w:p w:rsidR="00847EEE" w:rsidRDefault="00847EEE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9E01E8" w:rsidRDefault="00847EEE" w:rsidP="00096CA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este grupo la única cuenta que presenta variación negativa del 5.17% fue el Resultado del Ejercicio, las demás mantuvieron la misma variación del total del patrimonio.</w:t>
      </w:r>
    </w:p>
    <w:p w:rsidR="009E01E8" w:rsidRDefault="009E01E8" w:rsidP="00096CAD">
      <w:pPr>
        <w:spacing w:before="0" w:after="0" w:line="228" w:lineRule="auto"/>
        <w:jc w:val="both"/>
        <w:rPr>
          <w:rFonts w:ascii="Tahoma" w:hAnsi="Tahoma" w:cs="Tahoma"/>
        </w:rPr>
      </w:pPr>
    </w:p>
    <w:p w:rsidR="00B24CA8" w:rsidRPr="00AD4CE9" w:rsidRDefault="00847EEE" w:rsidP="00847EEE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B24CA8" w:rsidRPr="002443C3" w:rsidRDefault="00B24CA8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2443C3">
        <w:rPr>
          <w:rFonts w:ascii="Tahoma" w:hAnsi="Tahoma" w:cs="Tahoma"/>
          <w:b/>
        </w:rPr>
        <w:t>ESTADO DE ACTIVIDAD FINANCIERA, ECONÓMICA, SOCIAL Y AMBIENTAL COMPARATIVO</w:t>
      </w:r>
    </w:p>
    <w:p w:rsidR="00B24CA8" w:rsidRDefault="00B24CA8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847EEE" w:rsidRDefault="00847EEE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847EEE" w:rsidRDefault="00847EEE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drawing>
          <wp:inline distT="0" distB="0" distL="0" distR="0" wp14:anchorId="14FE1549">
            <wp:extent cx="4316095" cy="3072765"/>
            <wp:effectExtent l="0" t="0" r="825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095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71C2" w:rsidRDefault="00847EEE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  <w:r w:rsidRPr="00847EEE">
        <w:rPr>
          <w:noProof/>
        </w:rPr>
        <w:lastRenderedPageBreak/>
        <w:drawing>
          <wp:inline distT="0" distB="0" distL="0" distR="0" wp14:anchorId="44833DA6" wp14:editId="79E0EAA2">
            <wp:extent cx="5613400" cy="6081183"/>
            <wp:effectExtent l="0" t="0" r="635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6081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Default="000971C2" w:rsidP="00B24CA8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0971C2" w:rsidRPr="008D6CE6" w:rsidRDefault="00847EEE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>El Estado de la Actividad Financiera del Municipio de Piedras a 31 de diciembre de 2015, refleja que el municipio, percibió ingresos en cuantía de $11.295,3 millones, el 8.31% por encima de lo captado en el 2014 que finalizó la anualidad con un saldo de $10.428,2 millones.</w:t>
      </w:r>
    </w:p>
    <w:p w:rsidR="00847EEE" w:rsidRPr="008D6CE6" w:rsidRDefault="00847EEE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847EEE" w:rsidRPr="008D6CE6" w:rsidRDefault="00847EEE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>Dentro de la estructura financiera del municipio, se observa que los recursos propios que se obtienen a partir de la gestión de la administración alcanzó tan solo el 21.79%, dependiendo financieramente el municipio de los recursos provenientes de las transferencias.</w:t>
      </w:r>
    </w:p>
    <w:p w:rsidR="00847EEE" w:rsidRPr="008D6CE6" w:rsidRDefault="00847EEE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847EEE" w:rsidRPr="008D6CE6" w:rsidRDefault="00847EEE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 xml:space="preserve">En cuanto a los ingresos fiscales, el incremento en las vigencias fiscales alcanzó el 16.60% pasando en el 2014 de $2.110,9 millones a $2.461,5 millones en el 2015. Del total de estos ingresos el 70.2% corresponden a Ingresos Tributarios </w:t>
      </w:r>
      <w:r w:rsidR="00736007" w:rsidRPr="008D6CE6">
        <w:rPr>
          <w:rFonts w:ascii="Tahoma" w:hAnsi="Tahoma" w:cs="Tahoma"/>
        </w:rPr>
        <w:t>cuyo incremento fue del 18.02% frente a lo registrado en el 2014 ($2.110.9 millones).</w:t>
      </w:r>
    </w:p>
    <w:p w:rsidR="00736007" w:rsidRPr="008D6CE6" w:rsidRDefault="00736007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736007" w:rsidRPr="008D6CE6" w:rsidRDefault="00736007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>La Venta de Bienes del Municipio, presentó por su parte una disminución del 31.39% pasando de $23.255 millones en el 2014 a $15.955 millones en el 2015.</w:t>
      </w:r>
    </w:p>
    <w:p w:rsidR="00736007" w:rsidRPr="008D6CE6" w:rsidRDefault="00736007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736007" w:rsidRPr="008D6CE6" w:rsidRDefault="00736007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 xml:space="preserve">Es importante analizar el comportamiento de las transferencias </w:t>
      </w:r>
      <w:r w:rsidR="00DB5E63" w:rsidRPr="008D6CE6">
        <w:rPr>
          <w:rFonts w:ascii="Tahoma" w:hAnsi="Tahoma" w:cs="Tahoma"/>
        </w:rPr>
        <w:t>las cuales registran en el 2014 y el 2015 un incremento del 11.05% pasando de $6.431,2 millones en el 2014 a $7.141,7 millones en el 2015.</w:t>
      </w:r>
    </w:p>
    <w:p w:rsidR="00DB5E63" w:rsidRPr="008D6CE6" w:rsidRDefault="00DB5E63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DB5E63" w:rsidRPr="008D6CE6" w:rsidRDefault="00DB5E63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>De las Transferencias del Sistema General de Participaciones se tiene que entre las anualidades 2014 y 2015</w:t>
      </w:r>
      <w:r w:rsidR="00080622" w:rsidRPr="008D6CE6">
        <w:rPr>
          <w:rFonts w:ascii="Tahoma" w:hAnsi="Tahoma" w:cs="Tahoma"/>
        </w:rPr>
        <w:t>, tan solo se presentó un incremento porcentual del 3.04% pasando de recibir en el 2014 $2.294 millones a $2.363,7 millones en el 2015.</w:t>
      </w:r>
    </w:p>
    <w:p w:rsidR="00080622" w:rsidRPr="008D6CE6" w:rsidRDefault="00080622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80622" w:rsidRPr="008D6CE6" w:rsidRDefault="00080622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>La distribución de recursos por este concepto fue la siguiente: el 65.17% para “Propósito General” cuyo saldo finalizó en $1.549,7 millones el 8.75% más de lo  transferido en el 2014 que alcanzo la suma de $1.416,7 millones.</w:t>
      </w:r>
    </w:p>
    <w:p w:rsidR="00080622" w:rsidRPr="008D6CE6" w:rsidRDefault="00080622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80622" w:rsidRPr="008D6CE6" w:rsidRDefault="00080622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8D6CE6">
        <w:rPr>
          <w:rFonts w:ascii="Tahoma" w:hAnsi="Tahoma" w:cs="Tahoma"/>
        </w:rPr>
        <w:t xml:space="preserve">Los sectores de Salud y Alimentación Escolar disminuyeron su cuantía al </w:t>
      </w:r>
      <w:r w:rsidR="001D26AE" w:rsidRPr="008D6CE6">
        <w:rPr>
          <w:rFonts w:ascii="Tahoma" w:hAnsi="Tahoma" w:cs="Tahoma"/>
        </w:rPr>
        <w:t>finalizar el  2015 en 56.34% y 29.62% respectivamente, mientras que educación y Agua Potable obtuvieron un crecimiento porcentual al pasar de 133,1 millones a 150,1 millones para educación y $148,1 millones a $309,03 millones en agua potable y saneamiento básico.</w:t>
      </w:r>
    </w:p>
    <w:p w:rsidR="001D26AE" w:rsidRPr="00423359" w:rsidRDefault="001D26AE" w:rsidP="00847EEE">
      <w:pPr>
        <w:pStyle w:val="Prrafodelista"/>
        <w:spacing w:before="0" w:after="0" w:line="228" w:lineRule="auto"/>
        <w:jc w:val="both"/>
        <w:rPr>
          <w:rFonts w:ascii="Tahoma" w:hAnsi="Tahoma" w:cs="Tahoma"/>
          <w:sz w:val="24"/>
          <w:szCs w:val="24"/>
        </w:rPr>
      </w:pPr>
    </w:p>
    <w:p w:rsidR="001D26AE" w:rsidRPr="00423359" w:rsidRDefault="001D26AE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423359">
        <w:rPr>
          <w:rFonts w:ascii="Tahoma" w:hAnsi="Tahoma" w:cs="Tahoma"/>
        </w:rPr>
        <w:t xml:space="preserve">Sobre las cuentas “Gastos” se observa un crecimiento similar al de los ingresos alcanzando el 8.67% más de lo contabilizado en el 2014.   En este orden de ideas se tiene </w:t>
      </w:r>
      <w:r w:rsidR="00E27185" w:rsidRPr="00423359">
        <w:rPr>
          <w:rFonts w:ascii="Tahoma" w:hAnsi="Tahoma" w:cs="Tahoma"/>
        </w:rPr>
        <w:t>que el saldo al finalizar el periodo fiscal 2015 registró en $11.046, 5 millones, es decir $880,8 millones más de lo contabilizado en el 2014 cuyo saldo se cuantificó en $10.165,6 millones.</w:t>
      </w:r>
    </w:p>
    <w:p w:rsidR="00E27185" w:rsidRPr="00423359" w:rsidRDefault="00E27185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E27185" w:rsidRPr="00423359" w:rsidRDefault="00E27185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423359">
        <w:rPr>
          <w:rFonts w:ascii="Tahoma" w:hAnsi="Tahoma" w:cs="Tahoma"/>
        </w:rPr>
        <w:t>Sobresale dentro del grupo de  cuentas de Gastos el comportamiento que presentó la cuenta de “Gasto Público” cuyo saldo presentó un incremento porcentual del 184,35% pasando del 2014 ($1.343,9 millones) a ($3.821,6 millones) en el 2015.</w:t>
      </w:r>
    </w:p>
    <w:p w:rsidR="00E27185" w:rsidRPr="00423359" w:rsidRDefault="00E27185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E27185" w:rsidRPr="00423359" w:rsidRDefault="00E27185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  <w:r w:rsidRPr="00423359">
        <w:rPr>
          <w:rFonts w:ascii="Tahoma" w:hAnsi="Tahoma" w:cs="Tahoma"/>
        </w:rPr>
        <w:t>Los sectores que presentaron disminución de gastos entre las vigencias 2014 y 2015 fueron “Recreación y Deporte” (-68.55%) y “Desarrollo Comunitario</w:t>
      </w:r>
      <w:proofErr w:type="gramStart"/>
      <w:r w:rsidRPr="00423359">
        <w:rPr>
          <w:rFonts w:ascii="Tahoma" w:hAnsi="Tahoma" w:cs="Tahoma"/>
        </w:rPr>
        <w:t>”(</w:t>
      </w:r>
      <w:proofErr w:type="gramEnd"/>
      <w:r w:rsidRPr="00423359">
        <w:rPr>
          <w:rFonts w:ascii="Tahoma" w:hAnsi="Tahoma" w:cs="Tahoma"/>
        </w:rPr>
        <w:t>-7.51%)   alcanzando al finalizar la anualidad como  saldo la suma de  ($12.4 millones) y $68.3 millones para “Desarrollo Comunitario”.</w:t>
      </w:r>
    </w:p>
    <w:p w:rsidR="00080622" w:rsidRPr="00423359" w:rsidRDefault="00080622" w:rsidP="00847EEE">
      <w:pPr>
        <w:pStyle w:val="Prrafodelista"/>
        <w:spacing w:before="0" w:after="0" w:line="228" w:lineRule="auto"/>
        <w:jc w:val="both"/>
        <w:rPr>
          <w:rFonts w:ascii="Tahoma" w:hAnsi="Tahoma" w:cs="Tahoma"/>
        </w:rPr>
      </w:pPr>
    </w:p>
    <w:p w:rsidR="000971C2" w:rsidRPr="00423359" w:rsidRDefault="00423359" w:rsidP="00B24CA8">
      <w:pPr>
        <w:pStyle w:val="Prrafodelista"/>
        <w:spacing w:before="0" w:after="0" w:line="228" w:lineRule="auto"/>
        <w:rPr>
          <w:rFonts w:ascii="Tahoma" w:hAnsi="Tahoma" w:cs="Tahoma"/>
        </w:rPr>
      </w:pPr>
      <w:r w:rsidRPr="00423359">
        <w:rPr>
          <w:rFonts w:ascii="Tahoma" w:hAnsi="Tahoma" w:cs="Tahoma"/>
        </w:rPr>
        <w:t>Los sectores de mayor incremento porcentual presentado entre las vigencias 2014 y 2015 fue (Salud: $421,4 millones), (Agua Potable $618,9 millones) y (Vivienda $1.244, 5 millones.</w:t>
      </w:r>
    </w:p>
    <w:p w:rsidR="00B66376" w:rsidRDefault="00B6637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2443C3">
      <w:pPr>
        <w:pStyle w:val="Prrafodelista"/>
        <w:numPr>
          <w:ilvl w:val="0"/>
          <w:numId w:val="1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2443C3">
      <w:pPr>
        <w:pStyle w:val="Prrafodelista"/>
        <w:numPr>
          <w:ilvl w:val="1"/>
          <w:numId w:val="1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423359">
        <w:rPr>
          <w:rFonts w:ascii="Tahoma" w:hAnsi="Tahoma" w:cs="Tahoma"/>
        </w:rPr>
        <w:t>6.601.316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423359">
        <w:rPr>
          <w:rFonts w:ascii="Tahoma" w:hAnsi="Tahoma" w:cs="Tahoma"/>
        </w:rPr>
        <w:t xml:space="preserve">  457.381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423359">
        <w:rPr>
          <w:rFonts w:ascii="Tahoma" w:hAnsi="Tahoma" w:cs="Tahoma"/>
        </w:rPr>
        <w:t xml:space="preserve"> 2.628.756</w:t>
      </w:r>
      <w:r w:rsidR="003D5BDF">
        <w:rPr>
          <w:rFonts w:ascii="Tahoma" w:hAnsi="Tahoma" w:cs="Tahoma"/>
        </w:rPr>
        <w:t xml:space="preserve">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$9.687.453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D5BDF">
        <w:rPr>
          <w:rFonts w:ascii="Tahoma" w:hAnsi="Tahoma" w:cs="Tahoma"/>
        </w:rPr>
        <w:t xml:space="preserve">es </w:t>
      </w:r>
      <w:r w:rsidR="00B66376">
        <w:rPr>
          <w:rFonts w:ascii="Tahoma" w:hAnsi="Tahoma" w:cs="Tahoma"/>
        </w:rPr>
        <w:t>de crédito publico</w:t>
      </w:r>
      <w:r w:rsidR="00B66376">
        <w:rPr>
          <w:rFonts w:ascii="Tahoma" w:hAnsi="Tahoma" w:cs="Tahoma"/>
        </w:rPr>
        <w:tab/>
      </w:r>
      <w:r w:rsidR="00310359">
        <w:rPr>
          <w:rFonts w:ascii="Tahoma" w:hAnsi="Tahoma" w:cs="Tahoma"/>
        </w:rPr>
        <w:t xml:space="preserve">            </w:t>
      </w:r>
      <w:r w:rsidR="00B66376">
        <w:rPr>
          <w:rFonts w:ascii="Tahoma" w:hAnsi="Tahoma" w:cs="Tahoma"/>
        </w:rPr>
        <w:t>$</w:t>
      </w:r>
      <w:r w:rsidR="00423359">
        <w:rPr>
          <w:rFonts w:ascii="Tahoma" w:hAnsi="Tahoma" w:cs="Tahoma"/>
        </w:rPr>
        <w:t xml:space="preserve"> 177.200</w:t>
      </w:r>
    </w:p>
    <w:p w:rsidR="001666F5" w:rsidRPr="00AD4CE9" w:rsidRDefault="0083318E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</w:t>
      </w:r>
      <w:r w:rsidR="00423359">
        <w:rPr>
          <w:rFonts w:ascii="Tahoma" w:hAnsi="Tahoma" w:cs="Tahoma"/>
        </w:rPr>
        <w:t>entas por Pagar</w:t>
      </w:r>
      <w:r w:rsidR="00423359">
        <w:rPr>
          <w:rFonts w:ascii="Tahoma" w:hAnsi="Tahoma" w:cs="Tahoma"/>
        </w:rPr>
        <w:tab/>
      </w:r>
      <w:r w:rsidR="00423359">
        <w:rPr>
          <w:rFonts w:ascii="Tahoma" w:hAnsi="Tahoma" w:cs="Tahoma"/>
        </w:rPr>
        <w:tab/>
      </w:r>
      <w:r w:rsidR="00423359">
        <w:rPr>
          <w:rFonts w:ascii="Tahoma" w:hAnsi="Tahoma" w:cs="Tahoma"/>
        </w:rPr>
        <w:tab/>
      </w:r>
      <w:r w:rsidR="00423359">
        <w:rPr>
          <w:rFonts w:ascii="Tahoma" w:hAnsi="Tahoma" w:cs="Tahoma"/>
        </w:rPr>
        <w:tab/>
        <w:t xml:space="preserve">     330.097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318E">
        <w:rPr>
          <w:rFonts w:ascii="Tahoma" w:hAnsi="Tahoma" w:cs="Tahoma"/>
        </w:rPr>
        <w:t xml:space="preserve"> 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$507.297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42335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$9.687.453 / $507.297</w:t>
      </w:r>
      <w:r w:rsidR="001666F5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19.09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8A0D90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Ad</w:t>
      </w:r>
      <w:r w:rsidR="00310359">
        <w:rPr>
          <w:rFonts w:ascii="Tahoma" w:hAnsi="Tahoma" w:cs="Tahoma"/>
        </w:rPr>
        <w:t>min</w:t>
      </w:r>
      <w:r w:rsidR="0083318E">
        <w:rPr>
          <w:rFonts w:ascii="Tahoma" w:hAnsi="Tahoma" w:cs="Tahoma"/>
        </w:rPr>
        <w:t>is</w:t>
      </w:r>
      <w:r w:rsidR="00423359">
        <w:rPr>
          <w:rFonts w:ascii="Tahoma" w:hAnsi="Tahoma" w:cs="Tahoma"/>
        </w:rPr>
        <w:t>tración Municipal de Piedras</w:t>
      </w:r>
      <w:r w:rsidR="0083318E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debe a corto plazo, cuenta con </w:t>
      </w:r>
      <w:r w:rsidR="008D6CE6">
        <w:rPr>
          <w:rFonts w:ascii="Tahoma" w:hAnsi="Tahoma" w:cs="Tahoma"/>
        </w:rPr>
        <w:t xml:space="preserve">19.09 </w:t>
      </w:r>
      <w:r w:rsidRPr="00AD4CE9">
        <w:rPr>
          <w:rFonts w:ascii="Tahoma" w:hAnsi="Tahoma" w:cs="Tahoma"/>
        </w:rPr>
        <w:t xml:space="preserve"> pesos en activos corriente para cubrirlos, lo </w:t>
      </w:r>
      <w:r w:rsidRPr="00AD4CE9">
        <w:rPr>
          <w:rFonts w:ascii="Tahoma" w:hAnsi="Tahoma" w:cs="Tahoma"/>
        </w:rPr>
        <w:lastRenderedPageBreak/>
        <w:t>que significa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8D6CE6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$9.687.453 - $507.297</w:t>
      </w:r>
      <w:r w:rsidR="00A7456E" w:rsidRPr="00AD4CE9">
        <w:rPr>
          <w:rFonts w:ascii="Tahoma" w:hAnsi="Tahoma" w:cs="Tahoma"/>
        </w:rPr>
        <w:t>= $</w:t>
      </w:r>
      <w:r>
        <w:rPr>
          <w:rFonts w:ascii="Tahoma" w:hAnsi="Tahoma" w:cs="Tahoma"/>
        </w:rPr>
        <w:t>9.180.156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$507.297</w:t>
      </w:r>
      <w:r w:rsidR="00310359">
        <w:rPr>
          <w:rFonts w:ascii="Tahoma" w:hAnsi="Tahoma" w:cs="Tahoma"/>
        </w:rPr>
        <w:t>/</w:t>
      </w:r>
      <w:r>
        <w:rPr>
          <w:rFonts w:ascii="Tahoma" w:hAnsi="Tahoma" w:cs="Tahoma"/>
        </w:rPr>
        <w:t>$55.116.682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0.92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8D6CE6">
        <w:rPr>
          <w:rFonts w:ascii="Tahoma" w:hAnsi="Tahoma" w:cs="Tahoma"/>
        </w:rPr>
        <w:t>0.92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8D6CE6">
        <w:rPr>
          <w:rFonts w:ascii="Tahoma" w:hAnsi="Tahoma" w:cs="Tahoma"/>
        </w:rPr>
        <w:t>51.434.516 /55.116.682</w:t>
      </w:r>
      <w:r w:rsidR="005A36ED" w:rsidRPr="00AD4CE9">
        <w:rPr>
          <w:rFonts w:ascii="Tahoma" w:hAnsi="Tahoma" w:cs="Tahoma"/>
        </w:rPr>
        <w:t xml:space="preserve"> </w:t>
      </w:r>
      <w:r w:rsidR="008D6CE6">
        <w:rPr>
          <w:rFonts w:ascii="Tahoma" w:hAnsi="Tahoma" w:cs="Tahoma"/>
        </w:rPr>
        <w:t>= 93.31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310359">
        <w:rPr>
          <w:rFonts w:ascii="Tahoma" w:hAnsi="Tahoma" w:cs="Tahoma"/>
        </w:rPr>
        <w:t xml:space="preserve">iormente nos indica </w:t>
      </w:r>
      <w:r w:rsidR="008D6CE6">
        <w:rPr>
          <w:rFonts w:ascii="Tahoma" w:hAnsi="Tahoma" w:cs="Tahoma"/>
        </w:rPr>
        <w:t>que el 93.31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D6CE6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2443C3">
      <w:pPr>
        <w:pStyle w:val="Prrafodelista"/>
        <w:numPr>
          <w:ilvl w:val="0"/>
          <w:numId w:val="1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municipio de Piedras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5.15% en la suma de  $55.116,6 millones</w:t>
      </w:r>
      <w:r w:rsidR="00402C3D">
        <w:rPr>
          <w:rFonts w:ascii="Tahoma" w:hAnsi="Tahoma" w:cs="Tahoma"/>
        </w:rPr>
        <w:t>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8D6CE6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5.53</w:t>
      </w:r>
      <w:r w:rsidR="006756E8" w:rsidRPr="00AD4CE9">
        <w:rPr>
          <w:rFonts w:ascii="Tahoma" w:hAnsi="Tahoma" w:cs="Tahoma"/>
        </w:rPr>
        <w:t xml:space="preserve">%, apalancado principalmente por la cuenta </w:t>
      </w:r>
      <w:r w:rsidR="002613E4">
        <w:rPr>
          <w:rFonts w:ascii="Tahoma" w:hAnsi="Tahoma" w:cs="Tahoma"/>
        </w:rPr>
        <w:t xml:space="preserve">de Hacienda Pública, </w:t>
      </w:r>
      <w:r w:rsidR="00B74E57">
        <w:rPr>
          <w:rFonts w:ascii="Tahoma" w:hAnsi="Tahoma" w:cs="Tahoma"/>
        </w:rPr>
        <w:t xml:space="preserve"> que p</w:t>
      </w:r>
      <w:r w:rsidR="002613E4">
        <w:rPr>
          <w:rFonts w:ascii="Tahoma" w:hAnsi="Tahoma" w:cs="Tahoma"/>
        </w:rPr>
        <w:t xml:space="preserve">resenta </w:t>
      </w:r>
      <w:r>
        <w:rPr>
          <w:rFonts w:ascii="Tahoma" w:hAnsi="Tahoma" w:cs="Tahoma"/>
        </w:rPr>
        <w:t xml:space="preserve">el mismo crecimiento </w:t>
      </w:r>
      <w:r w:rsidR="000D2062" w:rsidRPr="00AD4CE9">
        <w:rPr>
          <w:rFonts w:ascii="Tahoma" w:hAnsi="Tahoma" w:cs="Tahoma"/>
        </w:rPr>
        <w:t>por la suma de $</w:t>
      </w:r>
      <w:r>
        <w:rPr>
          <w:rFonts w:ascii="Tahoma" w:hAnsi="Tahoma" w:cs="Tahoma"/>
        </w:rPr>
        <w:t>51.434,5 millones</w:t>
      </w:r>
      <w:r w:rsidR="00B74E57">
        <w:rPr>
          <w:rFonts w:ascii="Tahoma" w:hAnsi="Tahoma" w:cs="Tahoma"/>
        </w:rPr>
        <w:t>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B74E57">
        <w:rPr>
          <w:rFonts w:ascii="Tahoma" w:hAnsi="Tahoma" w:cs="Tahoma"/>
        </w:rPr>
        <w:t>, estaba representad</w:t>
      </w:r>
      <w:r w:rsidR="008D6CE6">
        <w:rPr>
          <w:rFonts w:ascii="Tahoma" w:hAnsi="Tahoma" w:cs="Tahoma"/>
        </w:rPr>
        <w:t>a en el 6.68</w:t>
      </w:r>
      <w:r w:rsidR="00FE7F94">
        <w:rPr>
          <w:rFonts w:ascii="Tahoma" w:hAnsi="Tahoma" w:cs="Tahoma"/>
        </w:rPr>
        <w:t>% los pasivos y el 93.31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FE7F94">
        <w:rPr>
          <w:rFonts w:ascii="Tahoma" w:hAnsi="Tahoma" w:cs="Tahoma"/>
        </w:rPr>
        <w:t>0.92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</w:t>
      </w:r>
      <w:r w:rsidR="00FE7F94">
        <w:rPr>
          <w:rFonts w:ascii="Tahoma" w:hAnsi="Tahoma" w:cs="Tahoma"/>
        </w:rPr>
        <w:t xml:space="preserve">io de Piedras 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1827B4">
      <w:headerReference w:type="default" r:id="rId12"/>
      <w:footerReference w:type="default" r:id="rId13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16F" w:rsidRDefault="0058316F" w:rsidP="00650A99">
      <w:r>
        <w:separator/>
      </w:r>
    </w:p>
  </w:endnote>
  <w:endnote w:type="continuationSeparator" w:id="0">
    <w:p w:rsidR="0058316F" w:rsidRDefault="0058316F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2D7B6E9" wp14:editId="2890BD8C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D27630" w:rsidRPr="00D2763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6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D27630">
                            <w:fldChar w:fldCharType="begin"/>
                          </w:r>
                          <w:r w:rsidR="00D27630">
                            <w:instrText>NUMPAGES  \* Arabic  \* MERGEFORMAT</w:instrText>
                          </w:r>
                          <w:r w:rsidR="00D27630">
                            <w:fldChar w:fldCharType="separate"/>
                          </w:r>
                          <w:r w:rsidR="00D27630" w:rsidRPr="00D2763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="00D2763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D7B6E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D27630" w:rsidRPr="00D2763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6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D27630">
                      <w:fldChar w:fldCharType="begin"/>
                    </w:r>
                    <w:r w:rsidR="00D27630">
                      <w:instrText>NUMPAGES  \* Arabic  \* MERGEFORMAT</w:instrText>
                    </w:r>
                    <w:r w:rsidR="00D27630">
                      <w:fldChar w:fldCharType="separate"/>
                    </w:r>
                    <w:r w:rsidR="00D27630" w:rsidRPr="00D2763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="00D2763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C4607A" wp14:editId="2FB61724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C4607A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7A28C5A" wp14:editId="31EF5574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D2763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A28C5A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D2763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16F" w:rsidRDefault="0058316F" w:rsidP="00650A99">
      <w:r>
        <w:separator/>
      </w:r>
    </w:p>
  </w:footnote>
  <w:footnote w:type="continuationSeparator" w:id="0">
    <w:p w:rsidR="0058316F" w:rsidRDefault="0058316F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1827B4">
    <w:pPr>
      <w:pStyle w:val="Encabezado"/>
    </w:pPr>
    <w:r>
      <w:rPr>
        <w:noProof/>
      </w:rPr>
      <w:drawing>
        <wp:inline distT="0" distB="0" distL="0" distR="0" wp14:anchorId="0255BF5B" wp14:editId="2E9AC72C">
          <wp:extent cx="1571625" cy="1219200"/>
          <wp:effectExtent l="0" t="0" r="9525" b="0"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F9A2C8F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5BD7"/>
    <w:rsid w:val="00014DDB"/>
    <w:rsid w:val="000167CA"/>
    <w:rsid w:val="0002541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0622"/>
    <w:rsid w:val="00081AAB"/>
    <w:rsid w:val="00084FFA"/>
    <w:rsid w:val="00090F81"/>
    <w:rsid w:val="000913E2"/>
    <w:rsid w:val="00092D3A"/>
    <w:rsid w:val="00096CAD"/>
    <w:rsid w:val="000971C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00"/>
    <w:rsid w:val="000F17B4"/>
    <w:rsid w:val="000F4FA1"/>
    <w:rsid w:val="001077DC"/>
    <w:rsid w:val="00115E29"/>
    <w:rsid w:val="00124F58"/>
    <w:rsid w:val="001301DF"/>
    <w:rsid w:val="00131C6D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17F8"/>
    <w:rsid w:val="00163663"/>
    <w:rsid w:val="001666F5"/>
    <w:rsid w:val="0017250D"/>
    <w:rsid w:val="001827B4"/>
    <w:rsid w:val="001A5473"/>
    <w:rsid w:val="001B7E9B"/>
    <w:rsid w:val="001D26AE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17490"/>
    <w:rsid w:val="00224140"/>
    <w:rsid w:val="00226503"/>
    <w:rsid w:val="002443C3"/>
    <w:rsid w:val="002467D6"/>
    <w:rsid w:val="00250B2A"/>
    <w:rsid w:val="00254A87"/>
    <w:rsid w:val="002608D4"/>
    <w:rsid w:val="002613E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D6719"/>
    <w:rsid w:val="002E1436"/>
    <w:rsid w:val="002E7240"/>
    <w:rsid w:val="002F54E8"/>
    <w:rsid w:val="003026A2"/>
    <w:rsid w:val="00303824"/>
    <w:rsid w:val="00306CC6"/>
    <w:rsid w:val="00310359"/>
    <w:rsid w:val="00313CA5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3359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A31AA"/>
    <w:rsid w:val="004B3739"/>
    <w:rsid w:val="004C10FE"/>
    <w:rsid w:val="004C250E"/>
    <w:rsid w:val="004C27B6"/>
    <w:rsid w:val="004C2EA2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56949"/>
    <w:rsid w:val="00560B0C"/>
    <w:rsid w:val="00560CA3"/>
    <w:rsid w:val="00562B5C"/>
    <w:rsid w:val="00563F32"/>
    <w:rsid w:val="0058316F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5CBC"/>
    <w:rsid w:val="00617A76"/>
    <w:rsid w:val="00617E98"/>
    <w:rsid w:val="0062226C"/>
    <w:rsid w:val="00630301"/>
    <w:rsid w:val="006432CC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DB0"/>
    <w:rsid w:val="0070120A"/>
    <w:rsid w:val="007062D9"/>
    <w:rsid w:val="00706545"/>
    <w:rsid w:val="00715B59"/>
    <w:rsid w:val="00736007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C4270"/>
    <w:rsid w:val="007D6052"/>
    <w:rsid w:val="007F7C04"/>
    <w:rsid w:val="00800EEF"/>
    <w:rsid w:val="008036D7"/>
    <w:rsid w:val="0081495F"/>
    <w:rsid w:val="00814D3D"/>
    <w:rsid w:val="00815D0B"/>
    <w:rsid w:val="00820529"/>
    <w:rsid w:val="00821EDD"/>
    <w:rsid w:val="00827082"/>
    <w:rsid w:val="00832014"/>
    <w:rsid w:val="008326D2"/>
    <w:rsid w:val="0083318E"/>
    <w:rsid w:val="00841203"/>
    <w:rsid w:val="00847EEE"/>
    <w:rsid w:val="00862966"/>
    <w:rsid w:val="00872CA8"/>
    <w:rsid w:val="008761A0"/>
    <w:rsid w:val="00897455"/>
    <w:rsid w:val="008A0D33"/>
    <w:rsid w:val="008A0D90"/>
    <w:rsid w:val="008A1B70"/>
    <w:rsid w:val="008A5D7F"/>
    <w:rsid w:val="008D6CE6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57C10"/>
    <w:rsid w:val="009606B3"/>
    <w:rsid w:val="00966EAD"/>
    <w:rsid w:val="00974E10"/>
    <w:rsid w:val="0098778A"/>
    <w:rsid w:val="00990B51"/>
    <w:rsid w:val="00991F22"/>
    <w:rsid w:val="009C0615"/>
    <w:rsid w:val="009D7ECE"/>
    <w:rsid w:val="009E01E8"/>
    <w:rsid w:val="009E3411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46EB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4CA8"/>
    <w:rsid w:val="00B258AA"/>
    <w:rsid w:val="00B34497"/>
    <w:rsid w:val="00B430BE"/>
    <w:rsid w:val="00B5291B"/>
    <w:rsid w:val="00B63579"/>
    <w:rsid w:val="00B6483D"/>
    <w:rsid w:val="00B648B1"/>
    <w:rsid w:val="00B65897"/>
    <w:rsid w:val="00B66376"/>
    <w:rsid w:val="00B7024B"/>
    <w:rsid w:val="00B74E57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5A0C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27630"/>
    <w:rsid w:val="00D338CD"/>
    <w:rsid w:val="00D42439"/>
    <w:rsid w:val="00D718F8"/>
    <w:rsid w:val="00D71C09"/>
    <w:rsid w:val="00D774B6"/>
    <w:rsid w:val="00D81436"/>
    <w:rsid w:val="00D85DD3"/>
    <w:rsid w:val="00D9131A"/>
    <w:rsid w:val="00DA07E0"/>
    <w:rsid w:val="00DA76D0"/>
    <w:rsid w:val="00DB2278"/>
    <w:rsid w:val="00DB5E63"/>
    <w:rsid w:val="00DC4D50"/>
    <w:rsid w:val="00DD0981"/>
    <w:rsid w:val="00DD5CA9"/>
    <w:rsid w:val="00E00EAB"/>
    <w:rsid w:val="00E06024"/>
    <w:rsid w:val="00E16EF6"/>
    <w:rsid w:val="00E27185"/>
    <w:rsid w:val="00E35BA6"/>
    <w:rsid w:val="00E37DA4"/>
    <w:rsid w:val="00E438FA"/>
    <w:rsid w:val="00E44E11"/>
    <w:rsid w:val="00E562E9"/>
    <w:rsid w:val="00E745B9"/>
    <w:rsid w:val="00E80CF1"/>
    <w:rsid w:val="00EC5776"/>
    <w:rsid w:val="00ED18CB"/>
    <w:rsid w:val="00F067EF"/>
    <w:rsid w:val="00F11CE8"/>
    <w:rsid w:val="00F152E9"/>
    <w:rsid w:val="00F413A2"/>
    <w:rsid w:val="00F56475"/>
    <w:rsid w:val="00F57D5F"/>
    <w:rsid w:val="00F64422"/>
    <w:rsid w:val="00F74A4C"/>
    <w:rsid w:val="00FA4C6D"/>
    <w:rsid w:val="00FB1D70"/>
    <w:rsid w:val="00FC413F"/>
    <w:rsid w:val="00FD1869"/>
    <w:rsid w:val="00FD52EC"/>
    <w:rsid w:val="00FE438F"/>
    <w:rsid w:val="00FE5384"/>
    <w:rsid w:val="00FE754B"/>
    <w:rsid w:val="00FE7F9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D5764A44-F876-47F8-AEEA-D2C8FF40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Piedras\Cuadro%20Comparativo.xls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0</c:formatCode>
                <c:ptCount val="3"/>
                <c:pt idx="0">
                  <c:v>55116682</c:v>
                </c:pt>
                <c:pt idx="1">
                  <c:v>2657174</c:v>
                </c:pt>
                <c:pt idx="2">
                  <c:v>51434516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0</c:formatCode>
                <c:ptCount val="3"/>
                <c:pt idx="0">
                  <c:v>52419454</c:v>
                </c:pt>
                <c:pt idx="1">
                  <c:v>2107387</c:v>
                </c:pt>
                <c:pt idx="2">
                  <c:v>48739328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34008592"/>
        <c:axId val="-134005872"/>
        <c:axId val="0"/>
      </c:bar3DChart>
      <c:catAx>
        <c:axId val="-134008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-134005872"/>
        <c:crosses val="autoZero"/>
        <c:auto val="1"/>
        <c:lblAlgn val="ctr"/>
        <c:lblOffset val="100"/>
        <c:noMultiLvlLbl val="0"/>
      </c:catAx>
      <c:valAx>
        <c:axId val="-134005872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-1340085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296B-07DD-482E-976C-37BF1CBF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9</Pages>
  <Words>1626</Words>
  <Characters>8948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24</cp:revision>
  <cp:lastPrinted>2016-12-25T22:02:00Z</cp:lastPrinted>
  <dcterms:created xsi:type="dcterms:W3CDTF">2015-09-24T21:09:00Z</dcterms:created>
  <dcterms:modified xsi:type="dcterms:W3CDTF">2016-12-25T22:02:00Z</dcterms:modified>
</cp:coreProperties>
</file>