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E1D" w:rsidRPr="00EA2D8B" w:rsidRDefault="00524E1D" w:rsidP="001D6862">
      <w:pPr>
        <w:spacing w:before="0" w:after="0" w:line="19" w:lineRule="atLeast"/>
        <w:jc w:val="center"/>
        <w:rPr>
          <w:rFonts w:ascii="Tahoma" w:hAnsi="Tahoma" w:cs="Tahoma"/>
          <w:b/>
        </w:rPr>
      </w:pPr>
      <w:bookmarkStart w:id="0" w:name="_GoBack"/>
      <w:bookmarkEnd w:id="0"/>
      <w:r w:rsidRPr="00EA2D8B">
        <w:rPr>
          <w:rFonts w:ascii="Tahoma" w:hAnsi="Tahoma" w:cs="Tahoma"/>
          <w:b/>
        </w:rPr>
        <w:t>INFORME FISCAL Y FINANCIERO</w:t>
      </w:r>
    </w:p>
    <w:p w:rsidR="00524E1D" w:rsidRPr="00EA2D8B" w:rsidRDefault="00524E1D" w:rsidP="001D6862">
      <w:pPr>
        <w:spacing w:before="0" w:after="0" w:line="19" w:lineRule="atLeast"/>
        <w:jc w:val="center"/>
        <w:rPr>
          <w:rFonts w:ascii="Tahoma" w:hAnsi="Tahoma" w:cs="Tahoma"/>
          <w:b/>
        </w:rPr>
      </w:pPr>
      <w:r w:rsidRPr="00EA2D8B">
        <w:rPr>
          <w:rFonts w:ascii="Tahoma" w:hAnsi="Tahoma" w:cs="Tahoma"/>
          <w:b/>
        </w:rPr>
        <w:t xml:space="preserve">MUNICIPIO DE </w:t>
      </w:r>
      <w:r w:rsidR="006A75AC">
        <w:rPr>
          <w:rFonts w:ascii="Tahoma" w:hAnsi="Tahoma" w:cs="Tahoma"/>
          <w:b/>
        </w:rPr>
        <w:t>ANZOÁTEGUI</w:t>
      </w:r>
    </w:p>
    <w:p w:rsidR="00524E1D" w:rsidRPr="00EA2D8B" w:rsidRDefault="00394BA1" w:rsidP="001D6862">
      <w:pPr>
        <w:spacing w:before="0" w:after="0" w:line="19" w:lineRule="atLeast"/>
        <w:jc w:val="center"/>
        <w:rPr>
          <w:rFonts w:ascii="Tahoma" w:hAnsi="Tahoma" w:cs="Tahoma"/>
          <w:b/>
        </w:rPr>
      </w:pPr>
      <w:r>
        <w:rPr>
          <w:rFonts w:ascii="Tahoma" w:hAnsi="Tahoma" w:cs="Tahoma"/>
          <w:b/>
        </w:rPr>
        <w:t xml:space="preserve"> VIGENCIA 2015</w:t>
      </w:r>
    </w:p>
    <w:p w:rsidR="00524E1D" w:rsidRDefault="00524E1D" w:rsidP="001D6862">
      <w:pPr>
        <w:spacing w:before="0" w:after="0" w:line="19" w:lineRule="atLeast"/>
        <w:rPr>
          <w:rFonts w:ascii="Tahoma" w:hAnsi="Tahoma" w:cs="Tahoma"/>
          <w:sz w:val="16"/>
        </w:rPr>
      </w:pPr>
    </w:p>
    <w:p w:rsidR="00E60742" w:rsidRDefault="00FD082E" w:rsidP="00FD082E">
      <w:pPr>
        <w:pStyle w:val="Ttulo1"/>
        <w:tabs>
          <w:tab w:val="left" w:pos="5664"/>
        </w:tabs>
        <w:spacing w:before="0" w:after="0" w:line="19" w:lineRule="atLeast"/>
        <w:jc w:val="both"/>
        <w:rPr>
          <w:rFonts w:ascii="Tahoma" w:hAnsi="Tahoma" w:cs="Tahoma"/>
          <w:b w:val="0"/>
          <w:sz w:val="22"/>
          <w:szCs w:val="22"/>
        </w:rPr>
      </w:pPr>
      <w:r>
        <w:rPr>
          <w:rFonts w:ascii="Tahoma" w:hAnsi="Tahoma" w:cs="Tahoma"/>
          <w:b w:val="0"/>
          <w:sz w:val="22"/>
          <w:szCs w:val="22"/>
        </w:rPr>
        <w:tab/>
      </w:r>
    </w:p>
    <w:p w:rsidR="009D4B99" w:rsidRDefault="009D4B99" w:rsidP="00AD0C4B">
      <w:pPr>
        <w:pStyle w:val="Ttulo1"/>
        <w:spacing w:before="0" w:after="0" w:line="19" w:lineRule="atLeast"/>
        <w:jc w:val="both"/>
        <w:rPr>
          <w:rFonts w:ascii="Tahoma" w:hAnsi="Tahoma" w:cs="Tahoma"/>
          <w:b w:val="0"/>
          <w:sz w:val="22"/>
          <w:szCs w:val="22"/>
        </w:rPr>
      </w:pPr>
      <w:r w:rsidRPr="009D4B99">
        <w:rPr>
          <w:rFonts w:ascii="Tahoma" w:hAnsi="Tahoma" w:cs="Tahoma"/>
          <w:b w:val="0"/>
          <w:sz w:val="22"/>
          <w:szCs w:val="22"/>
        </w:rPr>
        <w:t xml:space="preserve">El análisis practicado se efectuó sobre el resultado de la ejecución presupuestal de Ingresos y </w:t>
      </w:r>
      <w:r w:rsidR="00AD0C4B">
        <w:rPr>
          <w:rFonts w:ascii="Tahoma" w:hAnsi="Tahoma" w:cs="Tahoma"/>
          <w:b w:val="0"/>
          <w:sz w:val="22"/>
          <w:szCs w:val="22"/>
        </w:rPr>
        <w:t>Gastos de la vigencia 2015</w:t>
      </w:r>
      <w:r w:rsidRPr="009D4B99">
        <w:rPr>
          <w:rFonts w:ascii="Tahoma" w:hAnsi="Tahoma" w:cs="Tahoma"/>
          <w:b w:val="0"/>
          <w:sz w:val="22"/>
          <w:szCs w:val="22"/>
        </w:rPr>
        <w:t xml:space="preserve">, estableciendo un </w:t>
      </w:r>
      <w:r>
        <w:rPr>
          <w:rFonts w:ascii="Tahoma" w:hAnsi="Tahoma" w:cs="Tahoma"/>
          <w:b w:val="0"/>
          <w:sz w:val="22"/>
          <w:szCs w:val="22"/>
        </w:rPr>
        <w:t>comparativo con la vigencia 2014.</w:t>
      </w:r>
    </w:p>
    <w:p w:rsidR="009D4B99" w:rsidRDefault="00F10463" w:rsidP="00736B63">
      <w:pPr>
        <w:tabs>
          <w:tab w:val="left" w:pos="3453"/>
          <w:tab w:val="left" w:pos="7344"/>
        </w:tabs>
        <w:rPr>
          <w:lang w:val="es-ES" w:eastAsia="es-ES"/>
        </w:rPr>
      </w:pPr>
      <w:r>
        <w:rPr>
          <w:lang w:val="es-ES" w:eastAsia="es-ES"/>
        </w:rPr>
        <w:tab/>
      </w:r>
      <w:r w:rsidR="00736B63">
        <w:rPr>
          <w:lang w:val="es-ES" w:eastAsia="es-ES"/>
        </w:rPr>
        <w:tab/>
      </w:r>
    </w:p>
    <w:p w:rsidR="009D4B99" w:rsidRPr="00231ECA" w:rsidRDefault="009D4B99" w:rsidP="009D4B99">
      <w:pPr>
        <w:jc w:val="both"/>
        <w:rPr>
          <w:rFonts w:ascii="Tahoma" w:hAnsi="Tahoma" w:cs="Tahoma"/>
          <w:color w:val="000000" w:themeColor="text1"/>
        </w:rPr>
      </w:pPr>
      <w:r w:rsidRPr="00231ECA">
        <w:rPr>
          <w:rFonts w:ascii="Tahoma" w:hAnsi="Tahoma" w:cs="Tahoma"/>
          <w:color w:val="000000" w:themeColor="text1"/>
        </w:rPr>
        <w:t>Para el estudio y análisis del informe, se tomó como base la Información presupuestal del Sistema Consolidador de Hacienda e Info</w:t>
      </w:r>
      <w:r w:rsidR="00EC36EF" w:rsidRPr="00231ECA">
        <w:rPr>
          <w:rFonts w:ascii="Tahoma" w:hAnsi="Tahoma" w:cs="Tahoma"/>
          <w:color w:val="000000" w:themeColor="text1"/>
        </w:rPr>
        <w:t>rmación Financiera Pública Chip</w:t>
      </w:r>
      <w:r w:rsidR="00485A4C" w:rsidRPr="00231ECA">
        <w:rPr>
          <w:rFonts w:ascii="Tahoma" w:hAnsi="Tahoma" w:cs="Tahoma"/>
          <w:color w:val="000000" w:themeColor="text1"/>
        </w:rPr>
        <w:t xml:space="preserve">, información de la Contraloría General de la República y la </w:t>
      </w:r>
      <w:r w:rsidR="00EC36EF" w:rsidRPr="00231ECA">
        <w:rPr>
          <w:rFonts w:ascii="Tahoma" w:hAnsi="Tahoma" w:cs="Tahoma"/>
          <w:color w:val="000000" w:themeColor="text1"/>
        </w:rPr>
        <w:t>información presupuestal suministrada por el ente Territorial.</w:t>
      </w:r>
    </w:p>
    <w:p w:rsidR="00BD4C82" w:rsidRPr="00231ECA" w:rsidRDefault="00BD4C82" w:rsidP="00BD4C82">
      <w:pPr>
        <w:jc w:val="center"/>
        <w:rPr>
          <w:rFonts w:ascii="Tahoma" w:hAnsi="Tahoma" w:cs="Tahoma"/>
          <w:b/>
          <w:color w:val="000000" w:themeColor="text1"/>
        </w:rPr>
      </w:pPr>
      <w:r w:rsidRPr="00231ECA">
        <w:rPr>
          <w:rFonts w:ascii="Tahoma" w:hAnsi="Tahoma" w:cs="Tahoma"/>
          <w:b/>
          <w:color w:val="000000" w:themeColor="text1"/>
        </w:rPr>
        <w:t>CAPITULO 1</w:t>
      </w:r>
    </w:p>
    <w:p w:rsidR="005C0DCB" w:rsidRPr="00231ECA" w:rsidRDefault="00B97B3B" w:rsidP="00B97B3B">
      <w:pPr>
        <w:tabs>
          <w:tab w:val="left" w:pos="1573"/>
          <w:tab w:val="left" w:pos="2616"/>
          <w:tab w:val="center" w:pos="4420"/>
        </w:tabs>
        <w:rPr>
          <w:rFonts w:ascii="Tahoma" w:hAnsi="Tahoma" w:cs="Tahoma"/>
          <w:b/>
          <w:color w:val="000000" w:themeColor="text1"/>
        </w:rPr>
      </w:pPr>
      <w:r w:rsidRPr="00231ECA">
        <w:rPr>
          <w:rFonts w:ascii="Tahoma" w:hAnsi="Tahoma" w:cs="Tahoma"/>
          <w:b/>
          <w:color w:val="000000" w:themeColor="text1"/>
        </w:rPr>
        <w:t>LEGALIDAD Y APROBACION DEL PRESUPUESTO</w:t>
      </w:r>
    </w:p>
    <w:p w:rsidR="004F758C" w:rsidRPr="00231ECA" w:rsidRDefault="004F758C" w:rsidP="004F758C">
      <w:pPr>
        <w:rPr>
          <w:rFonts w:ascii="Tahoma" w:hAnsi="Tahoma" w:cs="Tahoma"/>
          <w:lang w:val="es-ES" w:eastAsia="es-ES"/>
        </w:rPr>
      </w:pPr>
    </w:p>
    <w:p w:rsidR="009B38B1" w:rsidRPr="00231ECA" w:rsidRDefault="00524E1D" w:rsidP="00AD0C4B">
      <w:pPr>
        <w:pStyle w:val="Ttulo1"/>
        <w:numPr>
          <w:ilvl w:val="0"/>
          <w:numId w:val="2"/>
        </w:numPr>
        <w:spacing w:before="0" w:after="0" w:line="19" w:lineRule="atLeast"/>
        <w:rPr>
          <w:rFonts w:ascii="Tahoma" w:hAnsi="Tahoma" w:cs="Tahoma"/>
          <w:sz w:val="22"/>
          <w:szCs w:val="22"/>
        </w:rPr>
      </w:pPr>
      <w:r w:rsidRPr="00231ECA">
        <w:rPr>
          <w:rFonts w:ascii="Tahoma" w:hAnsi="Tahoma" w:cs="Tahoma"/>
          <w:sz w:val="22"/>
          <w:szCs w:val="22"/>
        </w:rPr>
        <w:t>APROBACIÓN DEL PRESUPUESTO</w:t>
      </w:r>
    </w:p>
    <w:p w:rsidR="00AD0C4B" w:rsidRPr="00231ECA" w:rsidRDefault="00AD0C4B" w:rsidP="001D6862">
      <w:pPr>
        <w:tabs>
          <w:tab w:val="left" w:pos="2835"/>
        </w:tabs>
        <w:spacing w:before="0" w:after="0" w:line="19" w:lineRule="atLeast"/>
        <w:jc w:val="both"/>
        <w:rPr>
          <w:rFonts w:ascii="Tahoma" w:hAnsi="Tahoma" w:cs="Tahoma"/>
          <w:color w:val="auto"/>
        </w:rPr>
      </w:pPr>
    </w:p>
    <w:p w:rsidR="00EC36EF" w:rsidRPr="00231ECA" w:rsidRDefault="00524E1D" w:rsidP="00231ECA">
      <w:pPr>
        <w:tabs>
          <w:tab w:val="left" w:pos="2835"/>
        </w:tabs>
        <w:spacing w:before="0" w:after="0" w:line="19" w:lineRule="atLeast"/>
        <w:jc w:val="both"/>
        <w:rPr>
          <w:rFonts w:ascii="Tahoma" w:hAnsi="Tahoma" w:cs="Tahoma"/>
          <w:color w:val="auto"/>
        </w:rPr>
      </w:pPr>
      <w:r w:rsidRPr="00231ECA">
        <w:rPr>
          <w:rFonts w:ascii="Tahoma" w:hAnsi="Tahoma" w:cs="Tahoma"/>
          <w:color w:val="auto"/>
        </w:rPr>
        <w:t xml:space="preserve">El </w:t>
      </w:r>
      <w:r w:rsidR="00EC36EF" w:rsidRPr="00231ECA">
        <w:rPr>
          <w:rFonts w:ascii="Tahoma" w:hAnsi="Tahoma" w:cs="Tahoma"/>
          <w:color w:val="auto"/>
        </w:rPr>
        <w:t>presupuesto de Rentas y Recursos de Capita</w:t>
      </w:r>
      <w:r w:rsidR="006A0F41" w:rsidRPr="00231ECA">
        <w:rPr>
          <w:rFonts w:ascii="Tahoma" w:hAnsi="Tahoma" w:cs="Tahoma"/>
          <w:color w:val="auto"/>
        </w:rPr>
        <w:t xml:space="preserve">l y Gastos de la vigencia 2015 </w:t>
      </w:r>
      <w:r w:rsidR="00EC36EF" w:rsidRPr="00231ECA">
        <w:rPr>
          <w:rFonts w:ascii="Tahoma" w:hAnsi="Tahoma" w:cs="Tahoma"/>
          <w:color w:val="auto"/>
        </w:rPr>
        <w:t xml:space="preserve">del Municipio de </w:t>
      </w:r>
      <w:r w:rsidR="006879BE">
        <w:rPr>
          <w:rFonts w:ascii="Tahoma" w:hAnsi="Tahoma" w:cs="Tahoma"/>
          <w:color w:val="auto"/>
        </w:rPr>
        <w:t>Anzoátegui</w:t>
      </w:r>
      <w:r w:rsidR="00EC36EF" w:rsidRPr="00231ECA">
        <w:rPr>
          <w:rFonts w:ascii="Tahoma" w:hAnsi="Tahoma" w:cs="Tahoma"/>
          <w:color w:val="auto"/>
        </w:rPr>
        <w:t xml:space="preserve">, fue aprobado por el </w:t>
      </w:r>
      <w:r w:rsidRPr="00231ECA">
        <w:rPr>
          <w:rFonts w:ascii="Tahoma" w:hAnsi="Tahoma" w:cs="Tahoma"/>
          <w:color w:val="auto"/>
        </w:rPr>
        <w:t>Concejo Municipal mediante Acuerdo No.</w:t>
      </w:r>
      <w:r w:rsidR="00AD0C4B" w:rsidRPr="00231ECA">
        <w:rPr>
          <w:rFonts w:ascii="Tahoma" w:hAnsi="Tahoma" w:cs="Tahoma"/>
          <w:color w:val="auto"/>
        </w:rPr>
        <w:t xml:space="preserve"> </w:t>
      </w:r>
      <w:r w:rsidR="007F40C8" w:rsidRPr="00231ECA">
        <w:rPr>
          <w:rFonts w:ascii="Tahoma" w:hAnsi="Tahoma" w:cs="Tahoma"/>
          <w:color w:val="auto"/>
        </w:rPr>
        <w:t>01</w:t>
      </w:r>
      <w:r w:rsidR="00A006DE">
        <w:rPr>
          <w:rFonts w:ascii="Tahoma" w:hAnsi="Tahoma" w:cs="Tahoma"/>
          <w:color w:val="auto"/>
        </w:rPr>
        <w:t>5</w:t>
      </w:r>
      <w:r w:rsidR="007F40C8" w:rsidRPr="00231ECA">
        <w:rPr>
          <w:rFonts w:ascii="Tahoma" w:hAnsi="Tahoma" w:cs="Tahoma"/>
          <w:color w:val="auto"/>
        </w:rPr>
        <w:t xml:space="preserve"> </w:t>
      </w:r>
      <w:r w:rsidRPr="00231ECA">
        <w:rPr>
          <w:rFonts w:ascii="Tahoma" w:hAnsi="Tahoma" w:cs="Tahoma"/>
          <w:color w:val="auto"/>
        </w:rPr>
        <w:t>de</w:t>
      </w:r>
      <w:r w:rsidR="007F40C8" w:rsidRPr="00231ECA">
        <w:rPr>
          <w:rFonts w:ascii="Tahoma" w:hAnsi="Tahoma" w:cs="Tahoma"/>
          <w:color w:val="auto"/>
        </w:rPr>
        <w:t xml:space="preserve">l </w:t>
      </w:r>
      <w:r w:rsidR="0000466A">
        <w:rPr>
          <w:rFonts w:ascii="Tahoma" w:hAnsi="Tahoma" w:cs="Tahoma"/>
          <w:color w:val="auto"/>
        </w:rPr>
        <w:t>1</w:t>
      </w:r>
      <w:r w:rsidR="00A006DE">
        <w:rPr>
          <w:rFonts w:ascii="Tahoma" w:hAnsi="Tahoma" w:cs="Tahoma"/>
          <w:color w:val="auto"/>
        </w:rPr>
        <w:t>1</w:t>
      </w:r>
      <w:r w:rsidR="007F40C8" w:rsidRPr="00231ECA">
        <w:rPr>
          <w:rFonts w:ascii="Tahoma" w:hAnsi="Tahoma" w:cs="Tahoma"/>
          <w:color w:val="auto"/>
        </w:rPr>
        <w:t xml:space="preserve"> de</w:t>
      </w:r>
      <w:r w:rsidR="006D7C83" w:rsidRPr="00231ECA">
        <w:rPr>
          <w:rFonts w:ascii="Tahoma" w:hAnsi="Tahoma" w:cs="Tahoma"/>
          <w:color w:val="auto"/>
        </w:rPr>
        <w:t xml:space="preserve"> </w:t>
      </w:r>
      <w:r w:rsidR="00302682" w:rsidRPr="00231ECA">
        <w:rPr>
          <w:rFonts w:ascii="Tahoma" w:hAnsi="Tahoma" w:cs="Tahoma"/>
          <w:color w:val="auto"/>
        </w:rPr>
        <w:t xml:space="preserve">Diciembre </w:t>
      </w:r>
      <w:r w:rsidR="007F40C8" w:rsidRPr="00231ECA">
        <w:rPr>
          <w:rFonts w:ascii="Tahoma" w:hAnsi="Tahoma" w:cs="Tahoma"/>
          <w:color w:val="auto"/>
        </w:rPr>
        <w:t>de</w:t>
      </w:r>
      <w:r w:rsidR="006D7C83" w:rsidRPr="00231ECA">
        <w:rPr>
          <w:rFonts w:ascii="Tahoma" w:hAnsi="Tahoma" w:cs="Tahoma"/>
          <w:color w:val="auto"/>
        </w:rPr>
        <w:t xml:space="preserve"> 201</w:t>
      </w:r>
      <w:r w:rsidR="00AD0C4B" w:rsidRPr="00231ECA">
        <w:rPr>
          <w:rFonts w:ascii="Tahoma" w:hAnsi="Tahoma" w:cs="Tahoma"/>
          <w:color w:val="auto"/>
        </w:rPr>
        <w:t>4</w:t>
      </w:r>
      <w:r w:rsidR="00EC36EF" w:rsidRPr="00231ECA">
        <w:rPr>
          <w:rFonts w:ascii="Tahoma" w:hAnsi="Tahoma" w:cs="Tahoma"/>
          <w:color w:val="auto"/>
        </w:rPr>
        <w:t xml:space="preserve">, </w:t>
      </w:r>
      <w:r w:rsidR="006A0F41" w:rsidRPr="00231ECA">
        <w:rPr>
          <w:rFonts w:ascii="Tahoma" w:hAnsi="Tahoma" w:cs="Tahoma"/>
          <w:color w:val="auto"/>
        </w:rPr>
        <w:t>en la suma de</w:t>
      </w:r>
      <w:r w:rsidR="006A0F41" w:rsidRPr="00231ECA">
        <w:rPr>
          <w:rFonts w:ascii="Tahoma" w:hAnsi="Tahoma" w:cs="Tahoma"/>
          <w:b/>
          <w:color w:val="auto"/>
        </w:rPr>
        <w:t xml:space="preserve">  </w:t>
      </w:r>
      <w:r w:rsidR="006A75AC" w:rsidRPr="006A75AC">
        <w:rPr>
          <w:rFonts w:ascii="Tahoma" w:hAnsi="Tahoma" w:cs="Tahoma"/>
          <w:b/>
          <w:color w:val="auto"/>
        </w:rPr>
        <w:t>ONCE MIL NOVECIENTOS SETENTA Y NUEVE MILLONES CUATROCIENTOS SESENTA MIL</w:t>
      </w:r>
      <w:r w:rsidR="006A75AC">
        <w:rPr>
          <w:rFonts w:ascii="Tahoma" w:hAnsi="Tahoma" w:cs="Tahoma"/>
          <w:b/>
          <w:color w:val="auto"/>
        </w:rPr>
        <w:t xml:space="preserve"> </w:t>
      </w:r>
      <w:r w:rsidR="0000466A">
        <w:rPr>
          <w:rFonts w:ascii="Tahoma" w:hAnsi="Tahoma" w:cs="Tahoma"/>
          <w:b/>
          <w:color w:val="auto"/>
        </w:rPr>
        <w:t>PESOS</w:t>
      </w:r>
      <w:r w:rsidR="006A0F41" w:rsidRPr="00231ECA">
        <w:rPr>
          <w:rFonts w:ascii="Tahoma" w:hAnsi="Tahoma" w:cs="Tahoma"/>
          <w:b/>
          <w:color w:val="auto"/>
        </w:rPr>
        <w:t xml:space="preserve"> M/CTE ($</w:t>
      </w:r>
      <w:r w:rsidR="006A75AC" w:rsidRPr="006A75AC">
        <w:rPr>
          <w:rFonts w:ascii="Tahoma" w:hAnsi="Tahoma" w:cs="Tahoma"/>
          <w:b/>
          <w:color w:val="auto"/>
        </w:rPr>
        <w:t>11</w:t>
      </w:r>
      <w:r w:rsidR="006A75AC">
        <w:rPr>
          <w:rFonts w:ascii="Tahoma" w:hAnsi="Tahoma" w:cs="Tahoma"/>
          <w:b/>
          <w:color w:val="auto"/>
        </w:rPr>
        <w:t>.</w:t>
      </w:r>
      <w:r w:rsidR="006A75AC" w:rsidRPr="006A75AC">
        <w:rPr>
          <w:rFonts w:ascii="Tahoma" w:hAnsi="Tahoma" w:cs="Tahoma"/>
          <w:b/>
          <w:color w:val="auto"/>
        </w:rPr>
        <w:t>979</w:t>
      </w:r>
      <w:r w:rsidR="006A75AC">
        <w:rPr>
          <w:rFonts w:ascii="Tahoma" w:hAnsi="Tahoma" w:cs="Tahoma"/>
          <w:b/>
          <w:color w:val="auto"/>
        </w:rPr>
        <w:t>.</w:t>
      </w:r>
      <w:r w:rsidR="006A75AC" w:rsidRPr="006A75AC">
        <w:rPr>
          <w:rFonts w:ascii="Tahoma" w:hAnsi="Tahoma" w:cs="Tahoma"/>
          <w:b/>
          <w:color w:val="auto"/>
        </w:rPr>
        <w:t>460</w:t>
      </w:r>
      <w:r w:rsidR="006A75AC">
        <w:rPr>
          <w:rFonts w:ascii="Tahoma" w:hAnsi="Tahoma" w:cs="Tahoma"/>
          <w:b/>
          <w:color w:val="auto"/>
        </w:rPr>
        <w:t>.</w:t>
      </w:r>
      <w:r w:rsidR="006A75AC" w:rsidRPr="006A75AC">
        <w:rPr>
          <w:rFonts w:ascii="Tahoma" w:hAnsi="Tahoma" w:cs="Tahoma"/>
          <w:b/>
          <w:color w:val="auto"/>
        </w:rPr>
        <w:t>000</w:t>
      </w:r>
      <w:r w:rsidR="0000466A">
        <w:rPr>
          <w:rFonts w:ascii="Tahoma" w:hAnsi="Tahoma" w:cs="Tahoma"/>
          <w:b/>
          <w:color w:val="auto"/>
        </w:rPr>
        <w:t>.o</w:t>
      </w:r>
      <w:r w:rsidR="006A0F41" w:rsidRPr="00231ECA">
        <w:rPr>
          <w:rFonts w:ascii="Tahoma" w:hAnsi="Tahoma" w:cs="Tahoma"/>
          <w:b/>
          <w:color w:val="auto"/>
        </w:rPr>
        <w:t>o).</w:t>
      </w:r>
      <w:r w:rsidR="00E85A59" w:rsidRPr="00231ECA">
        <w:rPr>
          <w:rFonts w:ascii="Tahoma" w:hAnsi="Tahoma" w:cs="Tahoma"/>
          <w:b/>
          <w:color w:val="auto"/>
        </w:rPr>
        <w:t xml:space="preserve">  </w:t>
      </w:r>
      <w:r w:rsidR="00504C03" w:rsidRPr="00231ECA">
        <w:rPr>
          <w:rFonts w:ascii="Tahoma" w:hAnsi="Tahoma" w:cs="Tahoma"/>
          <w:color w:val="auto"/>
        </w:rPr>
        <w:tab/>
      </w:r>
    </w:p>
    <w:p w:rsidR="00231ECA" w:rsidRDefault="00231ECA" w:rsidP="001D6862">
      <w:pPr>
        <w:spacing w:before="0" w:after="0" w:line="228" w:lineRule="auto"/>
        <w:jc w:val="center"/>
        <w:rPr>
          <w:rFonts w:ascii="Tahoma" w:hAnsi="Tahoma" w:cs="Tahoma"/>
          <w:b/>
        </w:rPr>
      </w:pPr>
    </w:p>
    <w:p w:rsidR="00231ECA" w:rsidRDefault="00231ECA" w:rsidP="001D6862">
      <w:pPr>
        <w:spacing w:before="0" w:after="0" w:line="228" w:lineRule="auto"/>
        <w:jc w:val="center"/>
        <w:rPr>
          <w:rFonts w:ascii="Tahoma" w:hAnsi="Tahoma" w:cs="Tahoma"/>
          <w:b/>
        </w:rPr>
      </w:pPr>
    </w:p>
    <w:p w:rsidR="00153A3B" w:rsidRPr="00231ECA" w:rsidRDefault="005C0DCB" w:rsidP="001D6862">
      <w:pPr>
        <w:spacing w:before="0" w:after="0" w:line="228" w:lineRule="auto"/>
        <w:jc w:val="center"/>
        <w:rPr>
          <w:rFonts w:ascii="Tahoma" w:hAnsi="Tahoma" w:cs="Tahoma"/>
          <w:b/>
        </w:rPr>
      </w:pPr>
      <w:r w:rsidRPr="00231ECA">
        <w:rPr>
          <w:rFonts w:ascii="Tahoma" w:hAnsi="Tahoma" w:cs="Tahoma"/>
          <w:b/>
        </w:rPr>
        <w:t>CAPITULO 2</w:t>
      </w:r>
    </w:p>
    <w:p w:rsidR="005C0DCB" w:rsidRPr="00231ECA" w:rsidRDefault="005C0DCB" w:rsidP="001D6862">
      <w:pPr>
        <w:spacing w:before="0" w:after="0" w:line="228" w:lineRule="auto"/>
        <w:jc w:val="center"/>
        <w:rPr>
          <w:rFonts w:ascii="Tahoma" w:hAnsi="Tahoma" w:cs="Tahoma"/>
          <w:b/>
        </w:rPr>
      </w:pPr>
    </w:p>
    <w:p w:rsidR="00524E1D" w:rsidRPr="00231ECA" w:rsidRDefault="00524E1D" w:rsidP="00C03A42">
      <w:pPr>
        <w:pStyle w:val="Prrafodelista"/>
        <w:numPr>
          <w:ilvl w:val="0"/>
          <w:numId w:val="2"/>
        </w:numPr>
        <w:spacing w:before="0" w:after="0" w:line="228" w:lineRule="auto"/>
        <w:rPr>
          <w:rFonts w:ascii="Tahoma" w:hAnsi="Tahoma" w:cs="Tahoma"/>
          <w:b/>
        </w:rPr>
      </w:pPr>
      <w:r w:rsidRPr="00231ECA">
        <w:rPr>
          <w:rFonts w:ascii="Tahoma" w:hAnsi="Tahoma" w:cs="Tahoma"/>
          <w:b/>
        </w:rPr>
        <w:t>EJECUCION DEL PRESUPUESTO</w:t>
      </w:r>
    </w:p>
    <w:p w:rsidR="00577ABF" w:rsidRPr="00231ECA" w:rsidRDefault="00577ABF" w:rsidP="00577ABF">
      <w:pPr>
        <w:spacing w:before="0" w:after="0" w:line="228" w:lineRule="auto"/>
        <w:rPr>
          <w:rFonts w:ascii="Tahoma" w:hAnsi="Tahoma" w:cs="Tahoma"/>
          <w:b/>
        </w:rPr>
      </w:pPr>
    </w:p>
    <w:p w:rsidR="00EF0F9F" w:rsidRPr="00231ECA" w:rsidRDefault="00153A3B" w:rsidP="00EF0F9F">
      <w:pPr>
        <w:autoSpaceDE w:val="0"/>
        <w:autoSpaceDN w:val="0"/>
        <w:adjustRightInd w:val="0"/>
        <w:spacing w:before="0" w:after="0"/>
        <w:jc w:val="both"/>
        <w:rPr>
          <w:rFonts w:ascii="Tahoma" w:hAnsi="Tahoma" w:cs="Tahoma"/>
          <w:b/>
        </w:rPr>
      </w:pPr>
      <w:r w:rsidRPr="00231ECA">
        <w:rPr>
          <w:rFonts w:ascii="Tahoma" w:eastAsiaTheme="minorHAnsi" w:hAnsi="Tahoma" w:cs="Tahoma"/>
          <w:color w:val="auto"/>
          <w:lang w:eastAsia="en-US"/>
        </w:rPr>
        <w:t>El presupuesto Municipal, es por excelencia una de las principales herramientas de planeación</w:t>
      </w:r>
      <w:r w:rsidR="00AE23D3" w:rsidRPr="00231ECA">
        <w:rPr>
          <w:rFonts w:ascii="Tahoma" w:eastAsiaTheme="minorHAnsi" w:hAnsi="Tahoma" w:cs="Tahoma"/>
          <w:color w:val="auto"/>
          <w:lang w:eastAsia="en-US"/>
        </w:rPr>
        <w:t xml:space="preserve"> </w:t>
      </w:r>
      <w:r w:rsidR="00D27BCA" w:rsidRPr="00231ECA">
        <w:rPr>
          <w:rFonts w:ascii="Tahoma" w:eastAsiaTheme="minorHAnsi" w:hAnsi="Tahoma" w:cs="Tahoma"/>
          <w:color w:val="auto"/>
          <w:lang w:eastAsia="en-US"/>
        </w:rPr>
        <w:t xml:space="preserve">y en él se </w:t>
      </w:r>
      <w:r w:rsidR="00CA669B" w:rsidRPr="00231ECA">
        <w:rPr>
          <w:rFonts w:ascii="Tahoma" w:eastAsiaTheme="minorHAnsi" w:hAnsi="Tahoma" w:cs="Tahoma"/>
          <w:color w:val="auto"/>
          <w:lang w:eastAsia="en-US"/>
        </w:rPr>
        <w:t>deben</w:t>
      </w:r>
      <w:r w:rsidR="00D27BCA"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Proyectar los ingresos y rentas a percibir durante la vigencia fiscal y autorizar los respectivos gastos e inversiones; Atender criterios de prioridad, de los programas y proyectos contenidos en el Plan de Desarrollo, y</w:t>
      </w:r>
      <w:r w:rsidR="00CA669B" w:rsidRPr="00231ECA">
        <w:rPr>
          <w:rFonts w:ascii="Tahoma" w:eastAsiaTheme="minorHAnsi" w:hAnsi="Tahoma" w:cs="Tahoma"/>
          <w:color w:val="auto"/>
          <w:lang w:eastAsia="en-US"/>
        </w:rPr>
        <w:t xml:space="preserve"> </w:t>
      </w:r>
      <w:r w:rsidR="00EF0F9F" w:rsidRPr="00231ECA">
        <w:rPr>
          <w:rFonts w:ascii="Tahoma" w:eastAsiaTheme="minorHAnsi" w:hAnsi="Tahoma" w:cs="Tahoma"/>
          <w:color w:val="auto"/>
          <w:lang w:eastAsia="en-US"/>
        </w:rPr>
        <w:t>Alcanzar objetivos financieros, que no son otra cosa que adecuar el comportamiento real de los ingresos a las proyecciones contenidas en el Plan de Desarrollo.</w:t>
      </w:r>
    </w:p>
    <w:p w:rsidR="005C0DCB" w:rsidRPr="00231ECA" w:rsidRDefault="005C0DCB" w:rsidP="005C0DCB">
      <w:pPr>
        <w:tabs>
          <w:tab w:val="left" w:pos="7907"/>
        </w:tabs>
        <w:spacing w:before="0" w:after="0" w:line="228" w:lineRule="auto"/>
        <w:jc w:val="both"/>
        <w:rPr>
          <w:rFonts w:ascii="Tahoma" w:hAnsi="Tahoma" w:cs="Tahoma"/>
          <w:b/>
        </w:rPr>
      </w:pPr>
    </w:p>
    <w:p w:rsidR="005C0DCB" w:rsidRDefault="005C0DCB" w:rsidP="005C0DCB">
      <w:pPr>
        <w:tabs>
          <w:tab w:val="left" w:pos="7907"/>
        </w:tabs>
        <w:spacing w:before="0" w:after="0" w:line="228" w:lineRule="auto"/>
        <w:jc w:val="both"/>
        <w:rPr>
          <w:rFonts w:ascii="Tahoma" w:hAnsi="Tahoma" w:cs="Tahoma"/>
        </w:rPr>
      </w:pPr>
    </w:p>
    <w:p w:rsidR="00E0299E" w:rsidRPr="00231ECA" w:rsidRDefault="00E0299E" w:rsidP="005C0DCB">
      <w:pPr>
        <w:tabs>
          <w:tab w:val="left" w:pos="7907"/>
        </w:tabs>
        <w:spacing w:before="0" w:after="0" w:line="228" w:lineRule="auto"/>
        <w:jc w:val="both"/>
        <w:rPr>
          <w:rFonts w:ascii="Tahoma" w:hAnsi="Tahoma" w:cs="Tahoma"/>
        </w:rPr>
      </w:pPr>
    </w:p>
    <w:p w:rsidR="009848DF" w:rsidRPr="00231ECA" w:rsidRDefault="009848DF" w:rsidP="005C0DCB">
      <w:pPr>
        <w:tabs>
          <w:tab w:val="left" w:pos="7907"/>
        </w:tabs>
        <w:spacing w:before="0" w:after="0" w:line="228" w:lineRule="auto"/>
        <w:jc w:val="both"/>
        <w:rPr>
          <w:rFonts w:ascii="Tahoma" w:hAnsi="Tahoma" w:cs="Tahoma"/>
        </w:rPr>
      </w:pPr>
    </w:p>
    <w:p w:rsidR="009848DF" w:rsidRDefault="009848DF" w:rsidP="005C0DCB">
      <w:pPr>
        <w:tabs>
          <w:tab w:val="left" w:pos="7907"/>
        </w:tabs>
        <w:spacing w:before="0" w:after="0" w:line="228" w:lineRule="auto"/>
        <w:jc w:val="both"/>
        <w:rPr>
          <w:rFonts w:ascii="Tahoma" w:hAnsi="Tahoma" w:cs="Tahoma"/>
        </w:rPr>
      </w:pPr>
    </w:p>
    <w:p w:rsidR="005F4548" w:rsidRDefault="005F4548" w:rsidP="005C0DCB">
      <w:pPr>
        <w:tabs>
          <w:tab w:val="left" w:pos="7907"/>
        </w:tabs>
        <w:spacing w:before="0" w:after="0" w:line="228" w:lineRule="auto"/>
        <w:jc w:val="both"/>
        <w:rPr>
          <w:rFonts w:ascii="Tahoma" w:hAnsi="Tahoma" w:cs="Tahoma"/>
        </w:rPr>
      </w:pPr>
    </w:p>
    <w:p w:rsidR="00CB6D39" w:rsidRDefault="00CB6D39" w:rsidP="00DF6119">
      <w:pPr>
        <w:spacing w:before="0" w:after="0" w:line="228" w:lineRule="auto"/>
        <w:jc w:val="both"/>
        <w:rPr>
          <w:rFonts w:ascii="Tahoma" w:hAnsi="Tahoma" w:cs="Tahoma"/>
        </w:rPr>
      </w:pPr>
    </w:p>
    <w:p w:rsidR="00E566A8" w:rsidRDefault="00B212CE" w:rsidP="005220BC">
      <w:pPr>
        <w:pStyle w:val="Prrafodelista"/>
        <w:numPr>
          <w:ilvl w:val="1"/>
          <w:numId w:val="2"/>
        </w:numPr>
        <w:spacing w:before="0" w:after="0" w:line="19" w:lineRule="atLeast"/>
        <w:rPr>
          <w:rFonts w:ascii="Tahoma" w:hAnsi="Tahoma" w:cs="Tahoma"/>
          <w:b/>
        </w:rPr>
      </w:pPr>
      <w:r w:rsidRPr="009848DF">
        <w:rPr>
          <w:rFonts w:ascii="Tahoma" w:hAnsi="Tahoma" w:cs="Tahoma"/>
          <w:b/>
        </w:rPr>
        <w:lastRenderedPageBreak/>
        <w:t xml:space="preserve">ANALISIS A LA </w:t>
      </w:r>
      <w:r w:rsidR="00524E1D" w:rsidRPr="009848DF">
        <w:rPr>
          <w:rFonts w:ascii="Tahoma" w:hAnsi="Tahoma" w:cs="Tahoma"/>
          <w:b/>
        </w:rPr>
        <w:t xml:space="preserve">EJECUCION </w:t>
      </w:r>
      <w:r w:rsidR="00E508CB" w:rsidRPr="009848DF">
        <w:rPr>
          <w:rFonts w:ascii="Tahoma" w:hAnsi="Tahoma" w:cs="Tahoma"/>
          <w:b/>
        </w:rPr>
        <w:t xml:space="preserve"> </w:t>
      </w:r>
      <w:r w:rsidR="00524E1D" w:rsidRPr="009848DF">
        <w:rPr>
          <w:rFonts w:ascii="Tahoma" w:hAnsi="Tahoma" w:cs="Tahoma"/>
          <w:b/>
        </w:rPr>
        <w:t>PRESUPUEST</w:t>
      </w:r>
      <w:r w:rsidRPr="009848DF">
        <w:rPr>
          <w:rFonts w:ascii="Tahoma" w:hAnsi="Tahoma" w:cs="Tahoma"/>
          <w:b/>
        </w:rPr>
        <w:t xml:space="preserve">AL </w:t>
      </w:r>
      <w:r w:rsidR="00524E1D" w:rsidRPr="009848DF">
        <w:rPr>
          <w:rFonts w:ascii="Tahoma" w:hAnsi="Tahoma" w:cs="Tahoma"/>
          <w:b/>
        </w:rPr>
        <w:t xml:space="preserve">DE </w:t>
      </w:r>
      <w:r w:rsidRPr="009848DF">
        <w:rPr>
          <w:rFonts w:ascii="Tahoma" w:hAnsi="Tahoma" w:cs="Tahoma"/>
          <w:b/>
        </w:rPr>
        <w:t xml:space="preserve"> </w:t>
      </w:r>
      <w:r w:rsidR="00524E1D" w:rsidRPr="009848DF">
        <w:rPr>
          <w:rFonts w:ascii="Tahoma" w:hAnsi="Tahoma" w:cs="Tahoma"/>
          <w:b/>
        </w:rPr>
        <w:t>INGRESOS</w:t>
      </w:r>
    </w:p>
    <w:p w:rsidR="009848DF" w:rsidRDefault="009848DF" w:rsidP="009848DF">
      <w:pPr>
        <w:spacing w:before="0" w:after="0" w:line="19" w:lineRule="atLeast"/>
        <w:rPr>
          <w:rFonts w:ascii="Tahoma" w:hAnsi="Tahoma" w:cs="Tahoma"/>
          <w:b/>
        </w:rPr>
      </w:pPr>
    </w:p>
    <w:p w:rsidR="008B0625" w:rsidRDefault="008445AE" w:rsidP="00B26183">
      <w:pPr>
        <w:jc w:val="both"/>
        <w:rPr>
          <w:rFonts w:ascii="Tahoma" w:eastAsia="Times New Roman" w:hAnsi="Tahoma" w:cs="Tahoma"/>
          <w:b/>
          <w:bCs/>
          <w:color w:val="auto"/>
        </w:rPr>
      </w:pPr>
      <w:r w:rsidRPr="005540CE">
        <w:rPr>
          <w:rFonts w:ascii="Tahoma" w:hAnsi="Tahoma" w:cs="Tahoma"/>
        </w:rPr>
        <w:t xml:space="preserve">El presupuesto </w:t>
      </w:r>
      <w:r w:rsidR="009848DF">
        <w:rPr>
          <w:rFonts w:ascii="Tahoma" w:hAnsi="Tahoma" w:cs="Tahoma"/>
        </w:rPr>
        <w:t xml:space="preserve">de Ingresos </w:t>
      </w:r>
      <w:r w:rsidR="00DA6502">
        <w:rPr>
          <w:rFonts w:ascii="Tahoma" w:hAnsi="Tahoma" w:cs="Tahoma"/>
        </w:rPr>
        <w:t>d</w:t>
      </w:r>
      <w:r w:rsidR="009848DF">
        <w:rPr>
          <w:rFonts w:ascii="Tahoma" w:hAnsi="Tahoma" w:cs="Tahoma"/>
        </w:rPr>
        <w:t xml:space="preserve">el Municipio de </w:t>
      </w:r>
      <w:r w:rsidR="006A75AC">
        <w:rPr>
          <w:rFonts w:ascii="Tahoma" w:hAnsi="Tahoma" w:cs="Tahoma"/>
          <w:color w:val="auto"/>
        </w:rPr>
        <w:t>Anzoátegui</w:t>
      </w:r>
      <w:r w:rsidR="009848DF">
        <w:rPr>
          <w:rFonts w:ascii="Tahoma" w:hAnsi="Tahoma" w:cs="Tahoma"/>
        </w:rPr>
        <w:t xml:space="preserve"> </w:t>
      </w:r>
      <w:r w:rsidR="00735592">
        <w:rPr>
          <w:rFonts w:ascii="Tahoma" w:hAnsi="Tahoma" w:cs="Tahoma"/>
        </w:rPr>
        <w:t xml:space="preserve">para </w:t>
      </w:r>
      <w:r w:rsidR="009848DF">
        <w:rPr>
          <w:rFonts w:ascii="Tahoma" w:hAnsi="Tahoma" w:cs="Tahoma"/>
        </w:rPr>
        <w:t xml:space="preserve">la vigencia </w:t>
      </w:r>
      <w:r w:rsidR="00E27D3B">
        <w:rPr>
          <w:rFonts w:ascii="Tahoma" w:hAnsi="Tahoma" w:cs="Tahoma"/>
        </w:rPr>
        <w:t xml:space="preserve">fiscal </w:t>
      </w:r>
      <w:r w:rsidR="009848DF">
        <w:rPr>
          <w:rFonts w:ascii="Tahoma" w:hAnsi="Tahoma" w:cs="Tahoma"/>
        </w:rPr>
        <w:t>2015</w:t>
      </w:r>
      <w:r w:rsidR="00735592">
        <w:rPr>
          <w:rFonts w:ascii="Tahoma" w:hAnsi="Tahoma" w:cs="Tahoma"/>
        </w:rPr>
        <w:t xml:space="preserve"> </w:t>
      </w:r>
      <w:r w:rsidR="009848DF">
        <w:rPr>
          <w:rFonts w:ascii="Tahoma" w:hAnsi="Tahoma" w:cs="Tahoma"/>
        </w:rPr>
        <w:t xml:space="preserve">fue </w:t>
      </w:r>
      <w:r w:rsidR="00735592">
        <w:rPr>
          <w:rFonts w:ascii="Tahoma" w:hAnsi="Tahoma" w:cs="Tahoma"/>
        </w:rPr>
        <w:t xml:space="preserve">aprobado en la </w:t>
      </w:r>
      <w:r w:rsidR="00745F39">
        <w:rPr>
          <w:rFonts w:ascii="Tahoma" w:hAnsi="Tahoma" w:cs="Tahoma"/>
        </w:rPr>
        <w:t xml:space="preserve">cuantía </w:t>
      </w:r>
      <w:r w:rsidR="009848DF">
        <w:rPr>
          <w:rFonts w:ascii="Tahoma" w:hAnsi="Tahoma" w:cs="Tahoma"/>
        </w:rPr>
        <w:t xml:space="preserve">de </w:t>
      </w:r>
      <w:r w:rsidR="0000466A" w:rsidRPr="00231ECA">
        <w:rPr>
          <w:rFonts w:ascii="Tahoma" w:hAnsi="Tahoma" w:cs="Tahoma"/>
          <w:b/>
          <w:color w:val="auto"/>
        </w:rPr>
        <w:t>$</w:t>
      </w:r>
      <w:r w:rsidR="00516441" w:rsidRPr="00516441">
        <w:rPr>
          <w:rFonts w:ascii="Tahoma" w:hAnsi="Tahoma" w:cs="Tahoma"/>
          <w:b/>
          <w:color w:val="auto"/>
        </w:rPr>
        <w:t>11.979.460.000</w:t>
      </w:r>
      <w:r w:rsidR="0000466A">
        <w:rPr>
          <w:rFonts w:ascii="Tahoma" w:hAnsi="Tahoma" w:cs="Tahoma"/>
          <w:b/>
          <w:color w:val="auto"/>
        </w:rPr>
        <w:t>.o</w:t>
      </w:r>
      <w:r w:rsidR="0000466A" w:rsidRPr="00231ECA">
        <w:rPr>
          <w:rFonts w:ascii="Tahoma" w:hAnsi="Tahoma" w:cs="Tahoma"/>
          <w:b/>
          <w:color w:val="auto"/>
        </w:rPr>
        <w:t>o</w:t>
      </w:r>
      <w:r w:rsidR="009848DF" w:rsidRPr="00CA669B">
        <w:rPr>
          <w:rFonts w:ascii="Tahoma" w:hAnsi="Tahoma" w:cs="Tahoma"/>
          <w:b/>
          <w:color w:val="auto"/>
        </w:rPr>
        <w:t>,</w:t>
      </w:r>
      <w:r w:rsidR="009848DF">
        <w:rPr>
          <w:rFonts w:ascii="Tahoma" w:hAnsi="Tahoma" w:cs="Tahoma"/>
          <w:b/>
          <w:color w:val="auto"/>
        </w:rPr>
        <w:t xml:space="preserve"> </w:t>
      </w:r>
      <w:r w:rsidR="009848DF" w:rsidRPr="00DA6502">
        <w:rPr>
          <w:rFonts w:ascii="Tahoma" w:hAnsi="Tahoma" w:cs="Tahoma"/>
          <w:color w:val="auto"/>
        </w:rPr>
        <w:t xml:space="preserve">presentó </w:t>
      </w:r>
      <w:r w:rsidR="00DA6502" w:rsidRPr="00DA6502">
        <w:rPr>
          <w:rFonts w:ascii="Tahoma" w:hAnsi="Tahoma" w:cs="Tahoma"/>
          <w:color w:val="auto"/>
        </w:rPr>
        <w:t>adiciones</w:t>
      </w:r>
      <w:r w:rsidR="00735592">
        <w:rPr>
          <w:rFonts w:ascii="Tahoma" w:hAnsi="Tahoma" w:cs="Tahoma"/>
          <w:color w:val="auto"/>
        </w:rPr>
        <w:t xml:space="preserve"> presupuestales por</w:t>
      </w:r>
      <w:r w:rsidR="009848DF" w:rsidRPr="00DA6502">
        <w:rPr>
          <w:rFonts w:ascii="Tahoma" w:hAnsi="Tahoma" w:cs="Tahoma"/>
          <w:color w:val="auto"/>
        </w:rPr>
        <w:t xml:space="preserve"> </w:t>
      </w:r>
      <w:r w:rsidR="009848DF" w:rsidRPr="00B26183">
        <w:rPr>
          <w:rFonts w:ascii="Tahoma" w:hAnsi="Tahoma" w:cs="Tahoma"/>
          <w:b/>
          <w:color w:val="auto"/>
        </w:rPr>
        <w:t>$</w:t>
      </w:r>
      <w:r w:rsidR="00516441" w:rsidRPr="00516441">
        <w:rPr>
          <w:rFonts w:ascii="Tahoma" w:hAnsi="Tahoma" w:cs="Tahoma"/>
          <w:b/>
          <w:color w:val="auto"/>
        </w:rPr>
        <w:t>9.120.585.977</w:t>
      </w:r>
      <w:r w:rsidR="00E27D3B" w:rsidRPr="00B26183">
        <w:rPr>
          <w:rFonts w:ascii="Tahoma" w:eastAsia="Times New Roman" w:hAnsi="Tahoma" w:cs="Tahoma"/>
          <w:b/>
          <w:bCs/>
          <w:color w:val="auto"/>
        </w:rPr>
        <w:t>.</w:t>
      </w:r>
      <w:r w:rsidR="00DA6502" w:rsidRPr="00B26183">
        <w:rPr>
          <w:rFonts w:ascii="Tahoma" w:eastAsia="Times New Roman" w:hAnsi="Tahoma" w:cs="Tahoma"/>
          <w:b/>
          <w:bCs/>
          <w:color w:val="auto"/>
        </w:rPr>
        <w:t>oo</w:t>
      </w:r>
      <w:r w:rsidR="0000466A" w:rsidRPr="0000466A">
        <w:rPr>
          <w:rFonts w:ascii="Arial Narrow" w:eastAsia="Times New Roman" w:hAnsi="Arial Narrow"/>
          <w:b/>
          <w:bCs/>
          <w:sz w:val="20"/>
          <w:szCs w:val="20"/>
        </w:rPr>
        <w:t xml:space="preserve"> </w:t>
      </w:r>
      <w:r w:rsidR="00735592">
        <w:rPr>
          <w:rFonts w:ascii="Tahoma" w:eastAsia="Times New Roman" w:hAnsi="Tahoma" w:cs="Tahoma"/>
          <w:bCs/>
          <w:color w:val="auto"/>
        </w:rPr>
        <w:t xml:space="preserve">y </w:t>
      </w:r>
      <w:r w:rsidR="00B26183">
        <w:rPr>
          <w:rFonts w:ascii="Tahoma" w:eastAsia="Times New Roman" w:hAnsi="Tahoma" w:cs="Tahoma"/>
          <w:bCs/>
          <w:color w:val="auto"/>
        </w:rPr>
        <w:t xml:space="preserve">reducciones por </w:t>
      </w:r>
      <w:r w:rsidR="00B26183" w:rsidRPr="00B26183">
        <w:rPr>
          <w:rFonts w:ascii="Tahoma" w:eastAsia="Times New Roman" w:hAnsi="Tahoma" w:cs="Tahoma"/>
          <w:b/>
          <w:bCs/>
          <w:color w:val="auto"/>
        </w:rPr>
        <w:t>$</w:t>
      </w:r>
      <w:r w:rsidR="00516441" w:rsidRPr="00516441">
        <w:rPr>
          <w:rFonts w:ascii="Tahoma" w:eastAsia="Times New Roman" w:hAnsi="Tahoma" w:cs="Tahoma"/>
          <w:b/>
          <w:bCs/>
          <w:color w:val="auto"/>
        </w:rPr>
        <w:t>731.372.399</w:t>
      </w:r>
      <w:r w:rsidR="00DA6502" w:rsidRPr="00B26183">
        <w:rPr>
          <w:rFonts w:ascii="Tahoma" w:eastAsia="Times New Roman" w:hAnsi="Tahoma" w:cs="Tahoma"/>
          <w:b/>
          <w:bCs/>
          <w:color w:val="auto"/>
        </w:rPr>
        <w:t>.oo</w:t>
      </w:r>
      <w:r w:rsidR="00DA6502">
        <w:rPr>
          <w:rFonts w:ascii="Tahoma" w:eastAsia="Times New Roman" w:hAnsi="Tahoma" w:cs="Tahoma"/>
          <w:bCs/>
          <w:color w:val="auto"/>
        </w:rPr>
        <w:t xml:space="preserve">, para un presupuesto definitivo a Diciembre 31 de 2015 de </w:t>
      </w:r>
      <w:r w:rsidR="00DA6502" w:rsidRPr="00B26183">
        <w:rPr>
          <w:rFonts w:ascii="Tahoma" w:eastAsia="Times New Roman" w:hAnsi="Tahoma" w:cs="Tahoma"/>
          <w:b/>
          <w:bCs/>
          <w:color w:val="auto"/>
        </w:rPr>
        <w:t>$</w:t>
      </w:r>
      <w:r w:rsidR="00516441" w:rsidRPr="00516441">
        <w:rPr>
          <w:rFonts w:ascii="Tahoma" w:eastAsia="Times New Roman" w:hAnsi="Tahoma" w:cs="Tahoma"/>
          <w:b/>
          <w:bCs/>
          <w:color w:val="auto"/>
        </w:rPr>
        <w:t>20.368.673.578</w:t>
      </w:r>
      <w:r w:rsidR="008B0625">
        <w:rPr>
          <w:rFonts w:ascii="Tahoma" w:eastAsia="Times New Roman" w:hAnsi="Tahoma" w:cs="Tahoma"/>
          <w:b/>
          <w:bCs/>
          <w:color w:val="auto"/>
        </w:rPr>
        <w:t>.oo.</w:t>
      </w:r>
    </w:p>
    <w:p w:rsidR="008B0625" w:rsidRDefault="008B0625" w:rsidP="009848DF">
      <w:pPr>
        <w:tabs>
          <w:tab w:val="left" w:pos="2835"/>
        </w:tabs>
        <w:spacing w:before="0" w:after="0" w:line="19" w:lineRule="atLeast"/>
        <w:jc w:val="both"/>
        <w:rPr>
          <w:rFonts w:ascii="Tahoma" w:eastAsia="Times New Roman" w:hAnsi="Tahoma" w:cs="Tahoma"/>
          <w:b/>
          <w:bCs/>
          <w:color w:val="auto"/>
        </w:rPr>
      </w:pPr>
    </w:p>
    <w:p w:rsidR="00CB6457" w:rsidRDefault="00CB6457" w:rsidP="009848DF">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268"/>
        <w:gridCol w:w="1843"/>
        <w:gridCol w:w="2570"/>
      </w:tblGrid>
      <w:tr w:rsidR="008B0625" w:rsidRPr="00BA1DE4" w:rsidTr="002733BF">
        <w:trPr>
          <w:trHeight w:val="327"/>
        </w:trPr>
        <w:tc>
          <w:tcPr>
            <w:tcW w:w="2376"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843"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8B0625" w:rsidRPr="00B26183" w:rsidRDefault="008B0625" w:rsidP="0051644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8B0625" w:rsidRPr="00BA1DE4" w:rsidTr="002733BF">
        <w:trPr>
          <w:trHeight w:val="551"/>
        </w:trPr>
        <w:tc>
          <w:tcPr>
            <w:tcW w:w="2376" w:type="dxa"/>
          </w:tcPr>
          <w:p w:rsidR="008B0625" w:rsidRPr="00B26183" w:rsidRDefault="00B26183" w:rsidP="00516441">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sidR="00516441" w:rsidRPr="00516441">
              <w:rPr>
                <w:rFonts w:ascii="Tahoma" w:hAnsi="Tahoma" w:cs="Tahoma"/>
                <w:color w:val="auto"/>
                <w:sz w:val="20"/>
                <w:szCs w:val="20"/>
              </w:rPr>
              <w:t>11.979.460.000</w:t>
            </w:r>
            <w:r w:rsidRPr="00B26183">
              <w:rPr>
                <w:rFonts w:ascii="Tahoma" w:hAnsi="Tahoma" w:cs="Tahoma"/>
                <w:color w:val="auto"/>
                <w:sz w:val="20"/>
                <w:szCs w:val="20"/>
              </w:rPr>
              <w:t>.oo</w:t>
            </w:r>
          </w:p>
        </w:tc>
        <w:tc>
          <w:tcPr>
            <w:tcW w:w="2268" w:type="dxa"/>
          </w:tcPr>
          <w:p w:rsidR="008B0625" w:rsidRPr="00B26183" w:rsidRDefault="00B26183" w:rsidP="00516441">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sidR="00516441" w:rsidRPr="00516441">
              <w:rPr>
                <w:rFonts w:ascii="Tahoma" w:hAnsi="Tahoma" w:cs="Tahoma"/>
                <w:color w:val="auto"/>
                <w:sz w:val="20"/>
                <w:szCs w:val="20"/>
              </w:rPr>
              <w:t>9.120.585.977</w:t>
            </w:r>
            <w:r w:rsidR="00516441">
              <w:rPr>
                <w:rFonts w:ascii="Tahoma" w:hAnsi="Tahoma" w:cs="Tahoma"/>
                <w:color w:val="auto"/>
                <w:sz w:val="20"/>
                <w:szCs w:val="20"/>
              </w:rPr>
              <w:t>.</w:t>
            </w:r>
            <w:r w:rsidRPr="00B26183">
              <w:rPr>
                <w:rFonts w:ascii="Tahoma" w:eastAsia="Times New Roman" w:hAnsi="Tahoma" w:cs="Tahoma"/>
                <w:bCs/>
                <w:color w:val="auto"/>
                <w:sz w:val="20"/>
                <w:szCs w:val="20"/>
              </w:rPr>
              <w:t>oo</w:t>
            </w:r>
          </w:p>
        </w:tc>
        <w:tc>
          <w:tcPr>
            <w:tcW w:w="1843" w:type="dxa"/>
          </w:tcPr>
          <w:p w:rsidR="008B0625" w:rsidRPr="00B26183" w:rsidRDefault="00516441" w:rsidP="00516441">
            <w:pPr>
              <w:tabs>
                <w:tab w:val="left" w:pos="2835"/>
              </w:tabs>
              <w:spacing w:before="0" w:line="19" w:lineRule="atLeast"/>
              <w:jc w:val="center"/>
              <w:rPr>
                <w:rFonts w:ascii="Tahoma" w:eastAsia="Times New Roman" w:hAnsi="Tahoma" w:cs="Tahoma"/>
                <w:bCs/>
                <w:color w:val="auto"/>
                <w:sz w:val="20"/>
                <w:szCs w:val="20"/>
                <w:vertAlign w:val="subscript"/>
              </w:rPr>
            </w:pPr>
            <w:r>
              <w:rPr>
                <w:rFonts w:ascii="Tahoma" w:eastAsia="Times New Roman" w:hAnsi="Tahoma" w:cs="Tahoma"/>
                <w:bCs/>
                <w:color w:val="auto"/>
                <w:sz w:val="20"/>
                <w:szCs w:val="20"/>
              </w:rPr>
              <w:t>$</w:t>
            </w:r>
            <w:r w:rsidRPr="00516441">
              <w:rPr>
                <w:rFonts w:ascii="Tahoma" w:eastAsia="Times New Roman" w:hAnsi="Tahoma" w:cs="Tahoma"/>
                <w:bCs/>
                <w:color w:val="auto"/>
                <w:sz w:val="20"/>
                <w:szCs w:val="20"/>
              </w:rPr>
              <w:t>731.372.399</w:t>
            </w:r>
            <w:r w:rsidR="00B26183" w:rsidRPr="00B26183">
              <w:rPr>
                <w:rFonts w:ascii="Tahoma" w:eastAsia="Times New Roman" w:hAnsi="Tahoma" w:cs="Tahoma"/>
                <w:bCs/>
                <w:color w:val="auto"/>
                <w:sz w:val="20"/>
                <w:szCs w:val="20"/>
              </w:rPr>
              <w:t>.oo</w:t>
            </w:r>
          </w:p>
        </w:tc>
        <w:tc>
          <w:tcPr>
            <w:tcW w:w="2570" w:type="dxa"/>
          </w:tcPr>
          <w:p w:rsidR="008B0625" w:rsidRPr="00B26183" w:rsidRDefault="00B26183" w:rsidP="00516441">
            <w:pPr>
              <w:tabs>
                <w:tab w:val="left" w:pos="2835"/>
              </w:tabs>
              <w:spacing w:before="0" w:line="19" w:lineRule="atLeast"/>
              <w:jc w:val="center"/>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w:t>
            </w:r>
            <w:r w:rsidR="00516441" w:rsidRPr="00516441">
              <w:rPr>
                <w:rFonts w:ascii="Tahoma" w:eastAsia="Times New Roman" w:hAnsi="Tahoma" w:cs="Tahoma"/>
                <w:bCs/>
                <w:color w:val="auto"/>
                <w:sz w:val="20"/>
                <w:szCs w:val="20"/>
              </w:rPr>
              <w:t>20.368.673.578</w:t>
            </w:r>
            <w:r w:rsidRPr="00B26183">
              <w:rPr>
                <w:rFonts w:ascii="Tahoma" w:eastAsia="Times New Roman" w:hAnsi="Tahoma" w:cs="Tahoma"/>
                <w:bCs/>
                <w:color w:val="auto"/>
                <w:sz w:val="20"/>
                <w:szCs w:val="20"/>
              </w:rPr>
              <w:t>.oo</w:t>
            </w:r>
          </w:p>
        </w:tc>
      </w:tr>
    </w:tbl>
    <w:p w:rsidR="002016AE" w:rsidRPr="00256F6A" w:rsidRDefault="00256F6A" w:rsidP="009848DF">
      <w:pPr>
        <w:tabs>
          <w:tab w:val="left" w:pos="2835"/>
        </w:tabs>
        <w:spacing w:before="0" w:after="0" w:line="19" w:lineRule="atLeast"/>
        <w:jc w:val="both"/>
        <w:rPr>
          <w:rFonts w:ascii="Tahoma" w:eastAsia="Times New Roman" w:hAnsi="Tahoma" w:cs="Tahoma"/>
          <w:bCs/>
          <w:color w:val="auto"/>
          <w:vertAlign w:val="subscript"/>
        </w:rPr>
      </w:pPr>
      <w:r w:rsidRPr="00256F6A">
        <w:rPr>
          <w:rFonts w:ascii="Tahoma" w:eastAsia="Times New Roman" w:hAnsi="Tahoma" w:cs="Tahoma"/>
          <w:bCs/>
          <w:color w:val="auto"/>
          <w:vertAlign w:val="subscript"/>
        </w:rPr>
        <w:t>Información tomada de la ejecución presupuestal del Municipio</w:t>
      </w:r>
      <w:r>
        <w:rPr>
          <w:rFonts w:ascii="Tahoma" w:eastAsia="Times New Roman" w:hAnsi="Tahoma" w:cs="Tahoma"/>
          <w:bCs/>
          <w:color w:val="auto"/>
          <w:vertAlign w:val="subscript"/>
        </w:rPr>
        <w:t xml:space="preserve"> vigencia 2015</w:t>
      </w:r>
    </w:p>
    <w:p w:rsidR="00CB6457" w:rsidRDefault="00CB6457" w:rsidP="003F4BDE">
      <w:pPr>
        <w:tabs>
          <w:tab w:val="left" w:pos="4760"/>
          <w:tab w:val="left" w:pos="6013"/>
          <w:tab w:val="left" w:pos="6693"/>
        </w:tabs>
        <w:spacing w:before="0" w:after="0" w:line="19" w:lineRule="atLeast"/>
        <w:jc w:val="both"/>
        <w:rPr>
          <w:rFonts w:ascii="Tahoma" w:eastAsia="Times New Roman" w:hAnsi="Tahoma" w:cs="Tahoma"/>
          <w:bCs/>
          <w:color w:val="auto"/>
        </w:rPr>
      </w:pPr>
    </w:p>
    <w:p w:rsidR="003F4BDE" w:rsidRDefault="00735592" w:rsidP="003F4BDE">
      <w:pPr>
        <w:tabs>
          <w:tab w:val="left" w:pos="4760"/>
          <w:tab w:val="left" w:pos="6013"/>
          <w:tab w:val="left" w:pos="6693"/>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ab/>
      </w:r>
      <w:r w:rsidR="00256F6A">
        <w:rPr>
          <w:rFonts w:ascii="Tahoma" w:eastAsia="Times New Roman" w:hAnsi="Tahoma" w:cs="Tahoma"/>
          <w:bCs/>
          <w:color w:val="auto"/>
        </w:rPr>
        <w:tab/>
      </w:r>
    </w:p>
    <w:p w:rsidR="002016AE" w:rsidRDefault="00233415" w:rsidP="00256F6A">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drawing>
          <wp:inline distT="0" distB="0" distL="0" distR="0" wp14:anchorId="390EFDCC" wp14:editId="0F2B43CB">
            <wp:extent cx="5410200" cy="3840480"/>
            <wp:effectExtent l="0" t="0" r="19050" b="2667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54CD9" w:rsidRDefault="00054CD9" w:rsidP="009A7AA1">
      <w:pPr>
        <w:jc w:val="both"/>
        <w:rPr>
          <w:rFonts w:ascii="Tahoma" w:eastAsia="Times New Roman" w:hAnsi="Tahoma" w:cs="Tahoma"/>
          <w:bCs/>
          <w:color w:val="auto"/>
        </w:rPr>
      </w:pPr>
    </w:p>
    <w:p w:rsidR="00F8609F" w:rsidRDefault="00F8609F" w:rsidP="009A7AA1">
      <w:pPr>
        <w:jc w:val="both"/>
        <w:rPr>
          <w:rFonts w:ascii="Tahoma" w:eastAsia="Times New Roman" w:hAnsi="Tahoma" w:cs="Tahoma"/>
          <w:color w:val="auto"/>
        </w:rPr>
      </w:pPr>
    </w:p>
    <w:p w:rsidR="005F4548" w:rsidRDefault="005F4548" w:rsidP="009A7AA1">
      <w:pPr>
        <w:jc w:val="both"/>
        <w:rPr>
          <w:rFonts w:ascii="Tahoma" w:eastAsia="Times New Roman" w:hAnsi="Tahoma" w:cs="Tahoma"/>
          <w:color w:val="auto"/>
        </w:rPr>
      </w:pPr>
    </w:p>
    <w:p w:rsidR="005F4548" w:rsidRDefault="005F4548" w:rsidP="009A7AA1">
      <w:pPr>
        <w:jc w:val="both"/>
        <w:rPr>
          <w:rFonts w:ascii="Tahoma" w:eastAsia="Times New Roman" w:hAnsi="Tahoma" w:cs="Tahoma"/>
          <w:color w:val="auto"/>
        </w:rPr>
      </w:pPr>
    </w:p>
    <w:p w:rsidR="00820A3F" w:rsidRDefault="00685EF4" w:rsidP="00685EF4">
      <w:pPr>
        <w:rPr>
          <w:rFonts w:ascii="Tahoma" w:eastAsia="Times New Roman" w:hAnsi="Tahoma" w:cs="Tahoma"/>
          <w:b/>
          <w:color w:val="auto"/>
        </w:rPr>
      </w:pPr>
      <w:r w:rsidRPr="00685EF4">
        <w:rPr>
          <w:rFonts w:ascii="Tahoma" w:eastAsia="Times New Roman" w:hAnsi="Tahoma" w:cs="Tahoma"/>
          <w:b/>
          <w:color w:val="auto"/>
        </w:rPr>
        <w:t>PRESUPUESTO INICIAL DE INGRESOS</w:t>
      </w:r>
    </w:p>
    <w:p w:rsidR="009A7AA1" w:rsidRDefault="00A11B42" w:rsidP="00F8609F">
      <w:pPr>
        <w:jc w:val="center"/>
        <w:rPr>
          <w:rFonts w:ascii="Tahoma" w:eastAsia="Times New Roman" w:hAnsi="Tahoma" w:cs="Tahoma"/>
          <w:color w:val="auto"/>
        </w:rPr>
      </w:pPr>
      <w:r w:rsidRPr="00A11B42">
        <w:rPr>
          <w:noProof/>
        </w:rPr>
        <w:drawing>
          <wp:inline distT="0" distB="0" distL="0" distR="0" wp14:anchorId="387D1762" wp14:editId="31F6CCC4">
            <wp:extent cx="4485600" cy="5788800"/>
            <wp:effectExtent l="0" t="0" r="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88569" cy="5792632"/>
                    </a:xfrm>
                    <a:prstGeom prst="rect">
                      <a:avLst/>
                    </a:prstGeom>
                  </pic:spPr>
                </pic:pic>
              </a:graphicData>
            </a:graphic>
          </wp:inline>
        </w:drawing>
      </w:r>
    </w:p>
    <w:p w:rsidR="00231ECA" w:rsidRDefault="00231ECA" w:rsidP="00685EF4">
      <w:pPr>
        <w:jc w:val="both"/>
        <w:rPr>
          <w:rFonts w:ascii="Tahoma" w:eastAsia="Times New Roman" w:hAnsi="Tahoma" w:cs="Tahoma"/>
          <w:bCs/>
          <w:color w:val="auto"/>
        </w:rPr>
      </w:pPr>
    </w:p>
    <w:p w:rsidR="005F4548" w:rsidRDefault="00685EF4" w:rsidP="00591B11">
      <w:pPr>
        <w:jc w:val="both"/>
        <w:rPr>
          <w:rFonts w:ascii="Tahoma" w:eastAsia="Times New Roman" w:hAnsi="Tahoma" w:cs="Tahoma"/>
          <w:color w:val="auto"/>
        </w:rPr>
      </w:pPr>
      <w:r w:rsidRPr="009A7AA1">
        <w:rPr>
          <w:rFonts w:ascii="Tahoma" w:eastAsia="Times New Roman" w:hAnsi="Tahoma" w:cs="Tahoma"/>
          <w:bCs/>
          <w:color w:val="auto"/>
        </w:rPr>
        <w:lastRenderedPageBreak/>
        <w:t>El presupuesto Inicial de ingresos se dividió en: Ingresos Tributarios con</w:t>
      </w:r>
      <w:r>
        <w:rPr>
          <w:rFonts w:ascii="Tahoma" w:eastAsia="Times New Roman" w:hAnsi="Tahoma" w:cs="Tahoma"/>
          <w:bCs/>
          <w:color w:val="auto"/>
        </w:rPr>
        <w:t xml:space="preserve"> el </w:t>
      </w:r>
      <w:r w:rsidR="004B6F3C">
        <w:rPr>
          <w:rFonts w:ascii="Tahoma" w:eastAsia="Times New Roman" w:hAnsi="Tahoma" w:cs="Tahoma"/>
          <w:bCs/>
          <w:color w:val="auto"/>
        </w:rPr>
        <w:t>4</w:t>
      </w:r>
      <w:r w:rsidRPr="009A7AA1">
        <w:rPr>
          <w:rFonts w:ascii="Tahoma" w:eastAsia="Times New Roman" w:hAnsi="Tahoma" w:cs="Tahoma"/>
          <w:bCs/>
          <w:color w:val="auto"/>
        </w:rPr>
        <w:t>%</w:t>
      </w:r>
      <w:r>
        <w:rPr>
          <w:rFonts w:ascii="Tahoma" w:eastAsia="Times New Roman" w:hAnsi="Tahoma" w:cs="Tahoma"/>
          <w:bCs/>
          <w:color w:val="auto"/>
        </w:rPr>
        <w:t>, equivalentes a</w:t>
      </w:r>
      <w:r w:rsidRPr="009A7AA1">
        <w:rPr>
          <w:rFonts w:ascii="Tahoma" w:eastAsia="Times New Roman" w:hAnsi="Tahoma" w:cs="Tahoma"/>
          <w:bCs/>
          <w:color w:val="auto"/>
        </w:rPr>
        <w:t xml:space="preserve"> </w:t>
      </w:r>
      <w:r>
        <w:rPr>
          <w:rFonts w:ascii="Tahoma" w:eastAsia="Times New Roman" w:hAnsi="Tahoma" w:cs="Tahoma"/>
          <w:bCs/>
          <w:color w:val="auto"/>
        </w:rPr>
        <w:t>$</w:t>
      </w:r>
      <w:r w:rsidR="004B6F3C">
        <w:rPr>
          <w:rFonts w:ascii="Tahoma" w:eastAsia="Times New Roman" w:hAnsi="Tahoma" w:cs="Tahoma"/>
          <w:bCs/>
          <w:color w:val="auto"/>
        </w:rPr>
        <w:t>5</w:t>
      </w:r>
      <w:r w:rsidR="00820A3F">
        <w:rPr>
          <w:rFonts w:ascii="Tahoma" w:eastAsia="Times New Roman" w:hAnsi="Tahoma" w:cs="Tahoma"/>
          <w:bCs/>
          <w:color w:val="auto"/>
        </w:rPr>
        <w:t>07 millones,</w:t>
      </w:r>
      <w:r>
        <w:rPr>
          <w:rFonts w:ascii="Tahoma" w:eastAsia="Times New Roman" w:hAnsi="Tahoma" w:cs="Tahoma"/>
          <w:color w:val="auto"/>
        </w:rPr>
        <w:t xml:space="preserve"> </w:t>
      </w:r>
      <w:r w:rsidRPr="009A7AA1">
        <w:rPr>
          <w:rFonts w:ascii="Tahoma" w:eastAsia="Times New Roman" w:hAnsi="Tahoma" w:cs="Tahoma"/>
          <w:bCs/>
          <w:color w:val="auto"/>
        </w:rPr>
        <w:t xml:space="preserve">Ingresos no Tributarios </w:t>
      </w:r>
      <w:r>
        <w:rPr>
          <w:rFonts w:ascii="Tahoma" w:eastAsia="Times New Roman" w:hAnsi="Tahoma" w:cs="Tahoma"/>
          <w:bCs/>
          <w:color w:val="auto"/>
        </w:rPr>
        <w:t xml:space="preserve">con </w:t>
      </w:r>
      <w:r w:rsidR="00820A3F">
        <w:rPr>
          <w:rFonts w:ascii="Tahoma" w:eastAsia="Times New Roman" w:hAnsi="Tahoma" w:cs="Tahoma"/>
          <w:bCs/>
          <w:color w:val="auto"/>
        </w:rPr>
        <w:t>el 53% equivalente</w:t>
      </w:r>
      <w:r>
        <w:rPr>
          <w:rFonts w:ascii="Tahoma" w:eastAsia="Times New Roman" w:hAnsi="Tahoma" w:cs="Tahoma"/>
          <w:bCs/>
          <w:color w:val="auto"/>
        </w:rPr>
        <w:t xml:space="preserve"> a </w:t>
      </w:r>
      <w:r w:rsidRPr="009A7AA1">
        <w:rPr>
          <w:rFonts w:ascii="Tahoma" w:eastAsia="Times New Roman" w:hAnsi="Tahoma" w:cs="Tahoma"/>
          <w:bCs/>
          <w:color w:val="auto"/>
        </w:rPr>
        <w:t>$</w:t>
      </w:r>
      <w:r w:rsidR="00820A3F">
        <w:rPr>
          <w:rFonts w:ascii="Tahoma" w:eastAsia="Times New Roman" w:hAnsi="Tahoma" w:cs="Tahoma"/>
          <w:bCs/>
          <w:color w:val="auto"/>
        </w:rPr>
        <w:t>6.322</w:t>
      </w:r>
      <w:r w:rsidR="005F4548">
        <w:rPr>
          <w:rFonts w:ascii="Tahoma" w:eastAsia="Times New Roman" w:hAnsi="Tahoma" w:cs="Tahoma"/>
          <w:color w:val="auto"/>
        </w:rPr>
        <w:t xml:space="preserve"> mill</w:t>
      </w:r>
      <w:r w:rsidR="00392FBA">
        <w:rPr>
          <w:rFonts w:ascii="Tahoma" w:eastAsia="Times New Roman" w:hAnsi="Tahoma" w:cs="Tahoma"/>
          <w:color w:val="auto"/>
        </w:rPr>
        <w:t>ones</w:t>
      </w:r>
      <w:r w:rsidR="00392FBA">
        <w:rPr>
          <w:rFonts w:ascii="Tahoma" w:eastAsia="Times New Roman" w:hAnsi="Tahoma" w:cs="Tahoma"/>
          <w:bCs/>
          <w:color w:val="auto"/>
        </w:rPr>
        <w:t xml:space="preserve"> y </w:t>
      </w:r>
      <w:r w:rsidRPr="009A7AA1">
        <w:rPr>
          <w:rFonts w:ascii="Tahoma" w:eastAsia="Times New Roman" w:hAnsi="Tahoma" w:cs="Tahoma"/>
          <w:bCs/>
          <w:color w:val="auto"/>
        </w:rPr>
        <w:t xml:space="preserve">Fondos especiales </w:t>
      </w:r>
      <w:r w:rsidR="00820A3F">
        <w:rPr>
          <w:rFonts w:ascii="Tahoma" w:eastAsia="Times New Roman" w:hAnsi="Tahoma" w:cs="Tahoma"/>
          <w:bCs/>
          <w:color w:val="auto"/>
        </w:rPr>
        <w:t xml:space="preserve">con un </w:t>
      </w:r>
      <w:r w:rsidR="00392FBA">
        <w:rPr>
          <w:rFonts w:ascii="Tahoma" w:eastAsia="Times New Roman" w:hAnsi="Tahoma" w:cs="Tahoma"/>
          <w:bCs/>
          <w:color w:val="auto"/>
        </w:rPr>
        <w:t>43</w:t>
      </w:r>
      <w:r>
        <w:rPr>
          <w:rFonts w:ascii="Tahoma" w:eastAsia="Times New Roman" w:hAnsi="Tahoma" w:cs="Tahoma"/>
          <w:bCs/>
          <w:color w:val="auto"/>
        </w:rPr>
        <w:t xml:space="preserve">%, equivalentes </w:t>
      </w:r>
      <w:r w:rsidRPr="009A7AA1">
        <w:rPr>
          <w:rFonts w:ascii="Tahoma" w:eastAsia="Times New Roman" w:hAnsi="Tahoma" w:cs="Tahoma"/>
          <w:bCs/>
          <w:color w:val="auto"/>
        </w:rPr>
        <w:t>$</w:t>
      </w:r>
      <w:r w:rsidR="006879BE">
        <w:rPr>
          <w:rFonts w:ascii="Tahoma" w:eastAsia="Times New Roman" w:hAnsi="Tahoma" w:cs="Tahoma"/>
          <w:bCs/>
          <w:color w:val="auto"/>
        </w:rPr>
        <w:t xml:space="preserve">5.150 </w:t>
      </w:r>
      <w:r w:rsidR="00511C4D">
        <w:rPr>
          <w:rFonts w:ascii="Tahoma" w:eastAsia="Times New Roman" w:hAnsi="Tahoma" w:cs="Tahoma"/>
          <w:color w:val="auto"/>
        </w:rPr>
        <w:t>millones.</w:t>
      </w:r>
      <w:r>
        <w:rPr>
          <w:rFonts w:ascii="Tahoma" w:eastAsia="Times New Roman" w:hAnsi="Tahoma" w:cs="Tahoma"/>
          <w:color w:val="auto"/>
        </w:rPr>
        <w:t xml:space="preserve"> </w:t>
      </w:r>
    </w:p>
    <w:p w:rsidR="005F4548" w:rsidRPr="005F4548" w:rsidRDefault="005F4548" w:rsidP="005F4548">
      <w:pPr>
        <w:jc w:val="both"/>
        <w:rPr>
          <w:rFonts w:ascii="Tahoma" w:eastAsia="Times New Roman" w:hAnsi="Tahoma" w:cs="Tahoma"/>
          <w:color w:val="auto"/>
        </w:rPr>
      </w:pPr>
      <w:r>
        <w:rPr>
          <w:rFonts w:ascii="Tahoma" w:eastAsia="Times New Roman" w:hAnsi="Tahoma" w:cs="Tahoma"/>
          <w:noProof/>
          <w:color w:val="auto"/>
        </w:rPr>
        <w:drawing>
          <wp:inline distT="0" distB="0" distL="0" distR="0" wp14:anchorId="01045B61" wp14:editId="1F3257C8">
            <wp:extent cx="5486400" cy="3200400"/>
            <wp:effectExtent l="0" t="0" r="19050" b="1905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F4548" w:rsidRDefault="005F4548" w:rsidP="005F4548">
      <w:pPr>
        <w:rPr>
          <w:rFonts w:ascii="Tahoma" w:eastAsia="Times New Roman" w:hAnsi="Tahoma" w:cs="Tahoma"/>
        </w:rPr>
      </w:pPr>
    </w:p>
    <w:p w:rsidR="005F4548" w:rsidRPr="00521391" w:rsidRDefault="005F4548" w:rsidP="005F4548">
      <w:pPr>
        <w:tabs>
          <w:tab w:val="left" w:pos="2835"/>
        </w:tabs>
        <w:spacing w:before="0" w:after="0" w:line="19" w:lineRule="atLeast"/>
        <w:jc w:val="both"/>
        <w:rPr>
          <w:rFonts w:ascii="Tahoma" w:eastAsia="Times New Roman" w:hAnsi="Tahoma" w:cs="Tahoma"/>
          <w:b/>
          <w:bCs/>
          <w:color w:val="auto"/>
        </w:rPr>
      </w:pPr>
      <w:r w:rsidRPr="00521391">
        <w:rPr>
          <w:rFonts w:ascii="Tahoma" w:eastAsia="Times New Roman" w:hAnsi="Tahoma" w:cs="Tahoma"/>
          <w:b/>
          <w:bCs/>
          <w:color w:val="auto"/>
        </w:rPr>
        <w:t>MODIFICACIONES AL PRESUPUESTO</w:t>
      </w:r>
      <w:r>
        <w:rPr>
          <w:rFonts w:ascii="Tahoma" w:eastAsia="Times New Roman" w:hAnsi="Tahoma" w:cs="Tahoma"/>
          <w:b/>
          <w:bCs/>
          <w:color w:val="auto"/>
        </w:rPr>
        <w:t xml:space="preserve"> DE INGRESOS (ADICIONES)</w:t>
      </w:r>
    </w:p>
    <w:p w:rsidR="005F4548" w:rsidRDefault="005F4548" w:rsidP="005F4548">
      <w:pPr>
        <w:tabs>
          <w:tab w:val="left" w:pos="2835"/>
        </w:tabs>
        <w:spacing w:before="0" w:after="0" w:line="19" w:lineRule="atLeast"/>
        <w:jc w:val="both"/>
        <w:rPr>
          <w:rFonts w:ascii="Tahoma" w:eastAsia="Times New Roman" w:hAnsi="Tahoma" w:cs="Tahoma"/>
          <w:bCs/>
          <w:color w:val="auto"/>
        </w:rPr>
      </w:pPr>
    </w:p>
    <w:p w:rsidR="005F4548" w:rsidRDefault="005F4548" w:rsidP="005F4548">
      <w:pPr>
        <w:tabs>
          <w:tab w:val="left" w:pos="2835"/>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El presupuesto de ingresos del</w:t>
      </w:r>
      <w:r w:rsidR="00522858">
        <w:rPr>
          <w:rFonts w:ascii="Tahoma" w:eastAsia="Times New Roman" w:hAnsi="Tahoma" w:cs="Tahoma"/>
          <w:bCs/>
          <w:color w:val="auto"/>
        </w:rPr>
        <w:t xml:space="preserve"> Municipio de</w:t>
      </w:r>
      <w:r>
        <w:rPr>
          <w:rFonts w:ascii="Tahoma" w:eastAsia="Times New Roman" w:hAnsi="Tahoma" w:cs="Tahoma"/>
          <w:bCs/>
          <w:color w:val="auto"/>
        </w:rPr>
        <w:t xml:space="preserve"> Anzoátegui fue adicionado en un </w:t>
      </w:r>
      <w:r w:rsidR="000B79B3">
        <w:rPr>
          <w:rFonts w:ascii="Tahoma" w:eastAsia="Times New Roman" w:hAnsi="Tahoma" w:cs="Tahoma"/>
          <w:bCs/>
          <w:color w:val="auto"/>
        </w:rPr>
        <w:t>76.14</w:t>
      </w:r>
      <w:r>
        <w:rPr>
          <w:rFonts w:ascii="Tahoma" w:eastAsia="Times New Roman" w:hAnsi="Tahoma" w:cs="Tahoma"/>
          <w:bCs/>
          <w:color w:val="auto"/>
        </w:rPr>
        <w:t>%, equivalentes a $</w:t>
      </w:r>
      <w:r w:rsidR="000B79B3">
        <w:rPr>
          <w:rFonts w:ascii="Tahoma" w:eastAsia="Times New Roman" w:hAnsi="Tahoma" w:cs="Tahoma"/>
          <w:bCs/>
          <w:color w:val="auto"/>
        </w:rPr>
        <w:t>9.120</w:t>
      </w:r>
      <w:r>
        <w:rPr>
          <w:rFonts w:ascii="Tahoma" w:eastAsia="Times New Roman" w:hAnsi="Tahoma" w:cs="Tahoma"/>
          <w:bCs/>
          <w:color w:val="auto"/>
        </w:rPr>
        <w:t xml:space="preserve"> millones y las principales modificaciones se realizaron en los Ingresos Tributarios en la suma de $</w:t>
      </w:r>
      <w:r w:rsidR="000B79B3">
        <w:rPr>
          <w:rFonts w:ascii="Tahoma" w:eastAsia="Times New Roman" w:hAnsi="Tahoma" w:cs="Tahoma"/>
          <w:bCs/>
          <w:color w:val="auto"/>
        </w:rPr>
        <w:t>306</w:t>
      </w:r>
      <w:r>
        <w:rPr>
          <w:rFonts w:ascii="Tahoma" w:eastAsia="Times New Roman" w:hAnsi="Tahoma" w:cs="Tahoma"/>
          <w:bCs/>
          <w:color w:val="auto"/>
        </w:rPr>
        <w:t xml:space="preserve"> millones,  Ingresos No tributarios en la suma de $</w:t>
      </w:r>
      <w:r w:rsidR="000B79B3">
        <w:rPr>
          <w:rFonts w:ascii="Tahoma" w:eastAsia="Times New Roman" w:hAnsi="Tahoma" w:cs="Tahoma"/>
          <w:bCs/>
          <w:color w:val="auto"/>
        </w:rPr>
        <w:t>3.483</w:t>
      </w:r>
      <w:r>
        <w:rPr>
          <w:rFonts w:ascii="Tahoma" w:eastAsia="Times New Roman" w:hAnsi="Tahoma" w:cs="Tahoma"/>
          <w:bCs/>
          <w:color w:val="auto"/>
        </w:rPr>
        <w:t xml:space="preserve"> millones, Tra</w:t>
      </w:r>
      <w:r w:rsidR="000B79B3">
        <w:rPr>
          <w:rFonts w:ascii="Tahoma" w:eastAsia="Times New Roman" w:hAnsi="Tahoma" w:cs="Tahoma"/>
          <w:bCs/>
          <w:color w:val="auto"/>
        </w:rPr>
        <w:t>nsferencias en la suma de $2.443</w:t>
      </w:r>
      <w:r>
        <w:rPr>
          <w:rFonts w:ascii="Tahoma" w:eastAsia="Times New Roman" w:hAnsi="Tahoma" w:cs="Tahoma"/>
          <w:bCs/>
          <w:color w:val="auto"/>
        </w:rPr>
        <w:t xml:space="preserve"> millones, fondos especiales en la suma de $</w:t>
      </w:r>
      <w:r w:rsidR="000B79B3">
        <w:rPr>
          <w:rFonts w:ascii="Tahoma" w:eastAsia="Times New Roman" w:hAnsi="Tahoma" w:cs="Tahoma"/>
          <w:bCs/>
          <w:color w:val="auto"/>
        </w:rPr>
        <w:t>777</w:t>
      </w:r>
      <w:r>
        <w:rPr>
          <w:rFonts w:ascii="Tahoma" w:eastAsia="Times New Roman" w:hAnsi="Tahoma" w:cs="Tahoma"/>
          <w:bCs/>
          <w:color w:val="auto"/>
        </w:rPr>
        <w:t xml:space="preserve"> millones</w:t>
      </w:r>
      <w:r w:rsidR="000B79B3">
        <w:rPr>
          <w:rFonts w:ascii="Tahoma" w:eastAsia="Times New Roman" w:hAnsi="Tahoma" w:cs="Tahoma"/>
          <w:bCs/>
          <w:color w:val="auto"/>
        </w:rPr>
        <w:t xml:space="preserve">, </w:t>
      </w:r>
      <w:r>
        <w:rPr>
          <w:rFonts w:ascii="Tahoma" w:eastAsia="Times New Roman" w:hAnsi="Tahoma" w:cs="Tahoma"/>
          <w:bCs/>
          <w:color w:val="auto"/>
        </w:rPr>
        <w:t>Recursos de Capital en la suma de $</w:t>
      </w:r>
      <w:r w:rsidR="000B79B3">
        <w:rPr>
          <w:rFonts w:ascii="Tahoma" w:eastAsia="Times New Roman" w:hAnsi="Tahoma" w:cs="Tahoma"/>
          <w:bCs/>
          <w:color w:val="auto"/>
        </w:rPr>
        <w:t>5.330</w:t>
      </w:r>
      <w:r>
        <w:rPr>
          <w:rFonts w:ascii="Tahoma" w:eastAsia="Times New Roman" w:hAnsi="Tahoma" w:cs="Tahoma"/>
          <w:bCs/>
          <w:color w:val="auto"/>
        </w:rPr>
        <w:t xml:space="preserve"> millones. Ver tabla.</w:t>
      </w:r>
    </w:p>
    <w:p w:rsidR="005F4548" w:rsidRPr="005F4548" w:rsidRDefault="00F76822" w:rsidP="005F4548">
      <w:pPr>
        <w:rPr>
          <w:rFonts w:ascii="Tahoma" w:eastAsia="Times New Roman" w:hAnsi="Tahoma" w:cs="Tahoma"/>
        </w:rPr>
        <w:sectPr w:rsidR="005F4548" w:rsidRPr="005F4548" w:rsidSect="00B07062">
          <w:headerReference w:type="default" r:id="rId12"/>
          <w:footerReference w:type="default" r:id="rId13"/>
          <w:pgSz w:w="12242" w:h="15842" w:code="1"/>
          <w:pgMar w:top="1985" w:right="1701" w:bottom="1417" w:left="1701" w:header="57" w:footer="1911" w:gutter="0"/>
          <w:pgNumType w:start="1"/>
          <w:cols w:space="708"/>
          <w:docGrid w:linePitch="360"/>
        </w:sectPr>
      </w:pPr>
      <w:r w:rsidRPr="00F76822">
        <w:rPr>
          <w:noProof/>
        </w:rPr>
        <w:lastRenderedPageBreak/>
        <w:drawing>
          <wp:inline distT="0" distB="0" distL="0" distR="0" wp14:anchorId="65141A71" wp14:editId="4F474215">
            <wp:extent cx="5615939" cy="1844040"/>
            <wp:effectExtent l="0" t="0" r="4445"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12130" cy="1842789"/>
                    </a:xfrm>
                    <a:prstGeom prst="rect">
                      <a:avLst/>
                    </a:prstGeom>
                  </pic:spPr>
                </pic:pic>
              </a:graphicData>
            </a:graphic>
          </wp:inline>
        </w:drawing>
      </w:r>
    </w:p>
    <w:p w:rsidR="00092425" w:rsidRDefault="00092425" w:rsidP="00231AC8">
      <w:pPr>
        <w:tabs>
          <w:tab w:val="left" w:pos="2835"/>
        </w:tabs>
        <w:spacing w:before="0" w:after="0" w:line="19" w:lineRule="atLeast"/>
        <w:jc w:val="center"/>
        <w:rPr>
          <w:rFonts w:ascii="Tahoma" w:eastAsia="Times New Roman" w:hAnsi="Tahoma" w:cs="Tahoma"/>
          <w:bCs/>
          <w:color w:val="auto"/>
        </w:rPr>
      </w:pPr>
      <w:r>
        <w:rPr>
          <w:rFonts w:ascii="Tahoma" w:eastAsia="Times New Roman" w:hAnsi="Tahoma" w:cs="Tahoma"/>
          <w:bCs/>
          <w:noProof/>
          <w:color w:val="auto"/>
        </w:rPr>
        <w:lastRenderedPageBreak/>
        <w:drawing>
          <wp:inline distT="0" distB="0" distL="0" distR="0">
            <wp:extent cx="5486400" cy="3200400"/>
            <wp:effectExtent l="0" t="0" r="19050" b="1905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E40F7" w:rsidRDefault="00EE40F7" w:rsidP="009848DF">
      <w:pPr>
        <w:tabs>
          <w:tab w:val="left" w:pos="2835"/>
        </w:tabs>
        <w:spacing w:before="0" w:after="0" w:line="19" w:lineRule="atLeast"/>
        <w:jc w:val="both"/>
        <w:rPr>
          <w:rFonts w:ascii="Tahoma" w:eastAsia="Times New Roman" w:hAnsi="Tahoma" w:cs="Tahoma"/>
          <w:bCs/>
          <w:color w:val="auto"/>
        </w:rPr>
      </w:pPr>
    </w:p>
    <w:p w:rsidR="00B51E12" w:rsidRDefault="00B51E12" w:rsidP="001F11A4">
      <w:pPr>
        <w:tabs>
          <w:tab w:val="left" w:pos="2835"/>
        </w:tabs>
        <w:spacing w:before="0" w:after="0" w:line="19" w:lineRule="atLeast"/>
        <w:jc w:val="center"/>
        <w:rPr>
          <w:noProof/>
          <w:lang w:val="es-ES" w:eastAsia="es-ES"/>
        </w:rPr>
      </w:pPr>
    </w:p>
    <w:p w:rsidR="00B33ABA" w:rsidRDefault="00B33ABA" w:rsidP="00256F6A">
      <w:pPr>
        <w:tabs>
          <w:tab w:val="left" w:pos="5667"/>
        </w:tabs>
        <w:spacing w:before="0" w:after="0" w:line="19" w:lineRule="atLeast"/>
        <w:jc w:val="both"/>
        <w:rPr>
          <w:rFonts w:ascii="Tahoma" w:eastAsia="Times New Roman" w:hAnsi="Tahoma" w:cs="Tahoma"/>
          <w:b/>
          <w:bCs/>
          <w:color w:val="auto"/>
        </w:rPr>
      </w:pPr>
      <w:r w:rsidRPr="00B33ABA">
        <w:rPr>
          <w:rFonts w:ascii="Tahoma" w:eastAsia="Times New Roman" w:hAnsi="Tahoma" w:cs="Tahoma"/>
          <w:b/>
          <w:bCs/>
          <w:color w:val="auto"/>
        </w:rPr>
        <w:t>FUENTES DE FINANCIACION PRESUPUESTO</w:t>
      </w:r>
    </w:p>
    <w:p w:rsidR="00B33ABA" w:rsidRPr="00B33ABA" w:rsidRDefault="00B33ABA" w:rsidP="00256F6A">
      <w:pPr>
        <w:tabs>
          <w:tab w:val="left" w:pos="5667"/>
        </w:tabs>
        <w:spacing w:before="0" w:after="0" w:line="19" w:lineRule="atLeast"/>
        <w:jc w:val="both"/>
        <w:rPr>
          <w:rFonts w:ascii="Tahoma" w:eastAsia="Times New Roman" w:hAnsi="Tahoma" w:cs="Tahoma"/>
          <w:b/>
          <w:bCs/>
          <w:color w:val="auto"/>
        </w:rPr>
      </w:pPr>
    </w:p>
    <w:p w:rsidR="003F4BDE" w:rsidRDefault="004B1676"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color w:val="auto"/>
        </w:rPr>
        <w:t xml:space="preserve">Las principales fuentes </w:t>
      </w:r>
      <w:r w:rsidR="00745F39">
        <w:rPr>
          <w:rFonts w:ascii="Tahoma" w:eastAsia="Times New Roman" w:hAnsi="Tahoma" w:cs="Tahoma"/>
          <w:bCs/>
          <w:color w:val="auto"/>
        </w:rPr>
        <w:t xml:space="preserve">que </w:t>
      </w:r>
      <w:r>
        <w:rPr>
          <w:rFonts w:ascii="Tahoma" w:eastAsia="Times New Roman" w:hAnsi="Tahoma" w:cs="Tahoma"/>
          <w:bCs/>
          <w:color w:val="auto"/>
        </w:rPr>
        <w:t>financia</w:t>
      </w:r>
      <w:r w:rsidR="00745F39">
        <w:rPr>
          <w:rFonts w:ascii="Tahoma" w:eastAsia="Times New Roman" w:hAnsi="Tahoma" w:cs="Tahoma"/>
          <w:bCs/>
          <w:color w:val="auto"/>
        </w:rPr>
        <w:t xml:space="preserve">ron </w:t>
      </w:r>
      <w:r>
        <w:rPr>
          <w:rFonts w:ascii="Tahoma" w:eastAsia="Times New Roman" w:hAnsi="Tahoma" w:cs="Tahoma"/>
          <w:bCs/>
          <w:color w:val="auto"/>
        </w:rPr>
        <w:t>el presupuesto del Municipio</w:t>
      </w:r>
      <w:r w:rsidR="00D27BCA">
        <w:rPr>
          <w:rFonts w:ascii="Tahoma" w:eastAsia="Times New Roman" w:hAnsi="Tahoma" w:cs="Tahoma"/>
          <w:bCs/>
          <w:color w:val="auto"/>
        </w:rPr>
        <w:t xml:space="preserve"> de </w:t>
      </w:r>
      <w:r w:rsidR="00E62630">
        <w:rPr>
          <w:rFonts w:ascii="Tahoma" w:hAnsi="Tahoma" w:cs="Tahoma"/>
          <w:color w:val="auto"/>
        </w:rPr>
        <w:t xml:space="preserve">Anzoátegui </w:t>
      </w:r>
      <w:r>
        <w:rPr>
          <w:rFonts w:ascii="Tahoma" w:eastAsia="Times New Roman" w:hAnsi="Tahoma" w:cs="Tahoma"/>
          <w:bCs/>
          <w:color w:val="auto"/>
        </w:rPr>
        <w:t>fueron</w:t>
      </w:r>
      <w:r w:rsidR="0094723D">
        <w:rPr>
          <w:rFonts w:ascii="Tahoma" w:eastAsia="Times New Roman" w:hAnsi="Tahoma" w:cs="Tahoma"/>
          <w:bCs/>
          <w:color w:val="auto"/>
        </w:rPr>
        <w:t xml:space="preserve"> los Ingresos No Tributarios con un porcentaje de participación del 71.14%, representados en Transferencias </w:t>
      </w:r>
      <w:r w:rsidR="001D5CA9">
        <w:rPr>
          <w:rFonts w:ascii="Tahoma" w:eastAsia="Times New Roman" w:hAnsi="Tahoma" w:cs="Tahoma"/>
          <w:bCs/>
          <w:color w:val="auto"/>
        </w:rPr>
        <w:t>de la Nación (</w:t>
      </w:r>
      <w:r w:rsidR="0094723D">
        <w:rPr>
          <w:rFonts w:ascii="Tahoma" w:eastAsia="Times New Roman" w:hAnsi="Tahoma" w:cs="Tahoma"/>
          <w:bCs/>
          <w:color w:val="auto"/>
        </w:rPr>
        <w:t>Sistema General de Particiones)</w:t>
      </w:r>
      <w:r w:rsidR="001D1380">
        <w:rPr>
          <w:rFonts w:ascii="Tahoma" w:eastAsia="Times New Roman" w:hAnsi="Tahoma" w:cs="Tahoma"/>
          <w:bCs/>
          <w:color w:val="auto"/>
        </w:rPr>
        <w:t>,</w:t>
      </w:r>
      <w:r w:rsidR="001D5CA9">
        <w:rPr>
          <w:rFonts w:ascii="Tahoma" w:eastAsia="Times New Roman" w:hAnsi="Tahoma" w:cs="Tahoma"/>
          <w:bCs/>
          <w:color w:val="auto"/>
        </w:rPr>
        <w:t xml:space="preserve"> recursos de Financiación</w:t>
      </w:r>
      <w:r w:rsidR="001D1380">
        <w:rPr>
          <w:rFonts w:ascii="Tahoma" w:eastAsia="Times New Roman" w:hAnsi="Tahoma" w:cs="Tahoma"/>
          <w:bCs/>
          <w:color w:val="auto"/>
        </w:rPr>
        <w:t xml:space="preserve"> y Fondos Especiales</w:t>
      </w:r>
      <w:r w:rsidR="001D5CA9">
        <w:rPr>
          <w:rFonts w:ascii="Tahoma" w:eastAsia="Times New Roman" w:hAnsi="Tahoma" w:cs="Tahoma"/>
          <w:bCs/>
          <w:color w:val="auto"/>
        </w:rPr>
        <w:t>.</w:t>
      </w:r>
      <w:r w:rsidR="0094723D">
        <w:rPr>
          <w:rFonts w:ascii="Tahoma" w:eastAsia="Times New Roman" w:hAnsi="Tahoma" w:cs="Tahoma"/>
          <w:bCs/>
          <w:color w:val="auto"/>
        </w:rPr>
        <w:t xml:space="preserve"> </w:t>
      </w:r>
    </w:p>
    <w:p w:rsidR="00B07062" w:rsidRDefault="00B07062" w:rsidP="00256F6A">
      <w:pPr>
        <w:tabs>
          <w:tab w:val="left" w:pos="5667"/>
        </w:tabs>
        <w:spacing w:before="0" w:after="0" w:line="19" w:lineRule="atLeast"/>
        <w:jc w:val="both"/>
        <w:rPr>
          <w:rFonts w:ascii="Tahoma" w:eastAsia="Times New Roman" w:hAnsi="Tahoma" w:cs="Tahoma"/>
          <w:bCs/>
          <w:color w:val="auto"/>
        </w:rPr>
      </w:pPr>
    </w:p>
    <w:p w:rsidR="00176EEF" w:rsidRDefault="00176EEF" w:rsidP="00256F6A">
      <w:pPr>
        <w:tabs>
          <w:tab w:val="left" w:pos="5667"/>
        </w:tabs>
        <w:spacing w:before="0" w:after="0" w:line="19" w:lineRule="atLeast"/>
        <w:jc w:val="both"/>
        <w:rPr>
          <w:rFonts w:ascii="Tahoma" w:eastAsia="Times New Roman" w:hAnsi="Tahoma" w:cs="Tahoma"/>
          <w:bCs/>
          <w:color w:val="auto"/>
        </w:rPr>
      </w:pPr>
      <w:r>
        <w:rPr>
          <w:rFonts w:ascii="Tahoma" w:eastAsia="Times New Roman" w:hAnsi="Tahoma" w:cs="Tahoma"/>
          <w:bCs/>
          <w:noProof/>
          <w:color w:val="auto"/>
        </w:rPr>
        <w:drawing>
          <wp:inline distT="0" distB="0" distL="0" distR="0">
            <wp:extent cx="5242560" cy="2316480"/>
            <wp:effectExtent l="0" t="0" r="15240" b="2667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07062" w:rsidRPr="002E4D5C" w:rsidRDefault="001D5CA9" w:rsidP="00256F6A">
      <w:pPr>
        <w:tabs>
          <w:tab w:val="left" w:pos="5667"/>
        </w:tabs>
        <w:spacing w:before="0" w:after="0" w:line="19" w:lineRule="atLeast"/>
        <w:jc w:val="both"/>
        <w:rPr>
          <w:rFonts w:ascii="Tahoma" w:eastAsia="Times New Roman" w:hAnsi="Tahoma" w:cs="Tahoma"/>
          <w:bCs/>
          <w:color w:val="auto"/>
          <w:sz w:val="20"/>
        </w:rPr>
      </w:pPr>
      <w:r w:rsidRPr="002E4D5C">
        <w:rPr>
          <w:rFonts w:ascii="Tahoma" w:eastAsia="Times New Roman" w:hAnsi="Tahoma" w:cs="Tahoma"/>
          <w:bCs/>
          <w:noProof/>
          <w:color w:val="auto"/>
          <w:sz w:val="20"/>
        </w:rPr>
        <w:lastRenderedPageBreak/>
        <w:drawing>
          <wp:inline distT="0" distB="0" distL="0" distR="0" wp14:anchorId="1D22C305" wp14:editId="59A062DE">
            <wp:extent cx="5394960" cy="2545080"/>
            <wp:effectExtent l="0" t="0" r="15240" b="2667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B0A18" w:rsidRPr="002E4D5C" w:rsidRDefault="00256F6A" w:rsidP="00213F57">
      <w:pPr>
        <w:tabs>
          <w:tab w:val="left" w:pos="5667"/>
        </w:tabs>
        <w:spacing w:before="0" w:after="0" w:line="19" w:lineRule="atLeast"/>
        <w:jc w:val="both"/>
        <w:rPr>
          <w:rFonts w:ascii="Tahoma" w:hAnsi="Tahoma" w:cs="Tahoma"/>
          <w:b/>
          <w:noProof/>
          <w:color w:val="auto"/>
          <w:sz w:val="20"/>
        </w:rPr>
      </w:pPr>
      <w:r w:rsidRPr="002E4D5C">
        <w:rPr>
          <w:rFonts w:ascii="Tahoma" w:eastAsia="Times New Roman" w:hAnsi="Tahoma" w:cs="Tahoma"/>
          <w:bCs/>
          <w:color w:val="auto"/>
          <w:sz w:val="20"/>
        </w:rPr>
        <w:t xml:space="preserve"> </w:t>
      </w:r>
    </w:p>
    <w:p w:rsidR="00FB2024" w:rsidRDefault="005073CF" w:rsidP="009848DF">
      <w:pPr>
        <w:tabs>
          <w:tab w:val="left" w:pos="2835"/>
        </w:tabs>
        <w:spacing w:before="0" w:after="0" w:line="19" w:lineRule="atLeast"/>
        <w:jc w:val="both"/>
        <w:rPr>
          <w:rFonts w:ascii="Tahoma" w:hAnsi="Tahoma" w:cs="Tahoma"/>
          <w:b/>
          <w:noProof/>
          <w:color w:val="auto"/>
        </w:rPr>
      </w:pPr>
      <w:r w:rsidRPr="0054263E">
        <w:rPr>
          <w:rFonts w:ascii="Tahoma" w:hAnsi="Tahoma" w:cs="Tahoma"/>
          <w:b/>
          <w:noProof/>
          <w:color w:val="auto"/>
        </w:rPr>
        <w:t>COMPORTAMIENTO DEL RECAUDO:</w:t>
      </w:r>
    </w:p>
    <w:p w:rsidR="00691813" w:rsidRDefault="00691813" w:rsidP="008032B9">
      <w:pPr>
        <w:tabs>
          <w:tab w:val="left" w:pos="2835"/>
        </w:tabs>
        <w:spacing w:before="0" w:after="0" w:line="19" w:lineRule="atLeast"/>
        <w:jc w:val="both"/>
        <w:rPr>
          <w:rFonts w:ascii="Tahoma" w:hAnsi="Tahoma" w:cs="Tahoma"/>
          <w:noProof/>
          <w:color w:val="auto"/>
        </w:rPr>
      </w:pPr>
    </w:p>
    <w:p w:rsidR="008032B9" w:rsidRPr="007B2470" w:rsidRDefault="008032B9" w:rsidP="008032B9">
      <w:pPr>
        <w:tabs>
          <w:tab w:val="left" w:pos="2835"/>
        </w:tabs>
        <w:spacing w:before="0" w:after="0" w:line="19" w:lineRule="atLeast"/>
        <w:jc w:val="both"/>
        <w:rPr>
          <w:rFonts w:ascii="Tahoma" w:hAnsi="Tahoma" w:cs="Tahoma"/>
          <w:noProof/>
          <w:color w:val="auto"/>
        </w:rPr>
      </w:pPr>
      <w:r>
        <w:rPr>
          <w:rFonts w:ascii="Tahoma" w:hAnsi="Tahoma" w:cs="Tahoma"/>
          <w:noProof/>
          <w:color w:val="auto"/>
        </w:rPr>
        <w:t>E</w:t>
      </w:r>
      <w:r w:rsidRPr="00836C5C">
        <w:rPr>
          <w:rFonts w:ascii="Tahoma" w:hAnsi="Tahoma" w:cs="Tahoma"/>
          <w:noProof/>
          <w:color w:val="auto"/>
        </w:rPr>
        <w:t xml:space="preserve">l presupuesto de ingresos </w:t>
      </w:r>
      <w:r>
        <w:rPr>
          <w:rFonts w:ascii="Tahoma" w:hAnsi="Tahoma" w:cs="Tahoma"/>
          <w:noProof/>
          <w:color w:val="auto"/>
        </w:rPr>
        <w:t xml:space="preserve">definitivo </w:t>
      </w:r>
      <w:r w:rsidRPr="00836C5C">
        <w:rPr>
          <w:rFonts w:ascii="Tahoma" w:hAnsi="Tahoma" w:cs="Tahoma"/>
          <w:noProof/>
          <w:color w:val="auto"/>
        </w:rPr>
        <w:t xml:space="preserve">del Municipio de </w:t>
      </w:r>
      <w:r w:rsidR="007E5237">
        <w:rPr>
          <w:rFonts w:ascii="Tahoma" w:hAnsi="Tahoma" w:cs="Tahoma"/>
          <w:color w:val="auto"/>
        </w:rPr>
        <w:t>Anzoátegui</w:t>
      </w:r>
      <w:r w:rsidRPr="00836C5C">
        <w:rPr>
          <w:rFonts w:ascii="Tahoma" w:hAnsi="Tahoma" w:cs="Tahoma"/>
          <w:noProof/>
          <w:color w:val="auto"/>
        </w:rPr>
        <w:t xml:space="preserve"> a Diciembre 31 de 2015</w:t>
      </w:r>
      <w:r>
        <w:rPr>
          <w:rFonts w:ascii="Tahoma" w:hAnsi="Tahoma" w:cs="Tahoma"/>
          <w:noProof/>
          <w:color w:val="auto"/>
        </w:rPr>
        <w:t xml:space="preserve"> fue de $</w:t>
      </w:r>
      <w:r w:rsidR="00691813">
        <w:rPr>
          <w:rFonts w:ascii="Tahoma" w:hAnsi="Tahoma" w:cs="Tahoma"/>
          <w:noProof/>
          <w:color w:val="auto"/>
        </w:rPr>
        <w:t>20.368.673.578</w:t>
      </w:r>
      <w:r w:rsidR="00F41E22">
        <w:rPr>
          <w:rFonts w:ascii="Tahoma" w:hAnsi="Tahoma" w:cs="Tahoma"/>
          <w:noProof/>
          <w:color w:val="auto"/>
        </w:rPr>
        <w:t>.oo</w:t>
      </w:r>
      <w:r>
        <w:rPr>
          <w:rFonts w:ascii="Tahoma" w:hAnsi="Tahoma" w:cs="Tahoma"/>
          <w:noProof/>
          <w:color w:val="auto"/>
        </w:rPr>
        <w:t xml:space="preserve">, de los cuales se recaudó la suma de </w:t>
      </w:r>
      <w:r w:rsidRPr="00767FB9">
        <w:rPr>
          <w:rFonts w:ascii="Tahoma" w:hAnsi="Tahoma" w:cs="Tahoma"/>
          <w:noProof/>
          <w:color w:val="auto"/>
        </w:rPr>
        <w:t>$</w:t>
      </w:r>
      <w:r w:rsidR="00691813">
        <w:rPr>
          <w:rFonts w:ascii="Tahoma" w:hAnsi="Tahoma" w:cs="Tahoma"/>
          <w:noProof/>
          <w:color w:val="auto"/>
        </w:rPr>
        <w:t>19.856.198.162</w:t>
      </w:r>
      <w:r w:rsidR="005E0382">
        <w:rPr>
          <w:rFonts w:ascii="Tahoma" w:hAnsi="Tahoma" w:cs="Tahoma"/>
          <w:noProof/>
          <w:color w:val="auto"/>
        </w:rPr>
        <w:t>.oo, es decir, el recaudo fue del 97.48%,</w:t>
      </w:r>
      <w:r w:rsidR="00EA7A00">
        <w:rPr>
          <w:rFonts w:ascii="Tahoma" w:hAnsi="Tahoma" w:cs="Tahoma"/>
          <w:noProof/>
          <w:color w:val="auto"/>
        </w:rPr>
        <w:t xml:space="preserve"> </w:t>
      </w:r>
      <w:r>
        <w:rPr>
          <w:rFonts w:ascii="Tahoma" w:hAnsi="Tahoma" w:cs="Tahoma"/>
        </w:rPr>
        <w:t>qued</w:t>
      </w:r>
      <w:r w:rsidR="00EA7A00">
        <w:rPr>
          <w:rFonts w:ascii="Tahoma" w:hAnsi="Tahoma" w:cs="Tahoma"/>
        </w:rPr>
        <w:t>ando</w:t>
      </w:r>
      <w:r>
        <w:rPr>
          <w:rFonts w:ascii="Tahoma" w:hAnsi="Tahoma" w:cs="Tahoma"/>
        </w:rPr>
        <w:t xml:space="preserve"> pendiente por recaudar la suma de $</w:t>
      </w:r>
      <w:r w:rsidR="007B2470">
        <w:rPr>
          <w:rFonts w:ascii="Tahoma" w:hAnsi="Tahoma" w:cs="Tahoma"/>
        </w:rPr>
        <w:t>512 millones</w:t>
      </w:r>
      <w:r>
        <w:rPr>
          <w:rFonts w:ascii="Tahoma" w:hAnsi="Tahoma" w:cs="Tahoma"/>
        </w:rPr>
        <w:t>, correspondie</w:t>
      </w:r>
      <w:r w:rsidR="001D3576">
        <w:rPr>
          <w:rFonts w:ascii="Tahoma" w:hAnsi="Tahoma" w:cs="Tahoma"/>
        </w:rPr>
        <w:t>ntes a</w:t>
      </w:r>
      <w:r w:rsidR="00EA7A00">
        <w:rPr>
          <w:rFonts w:ascii="Tahoma" w:hAnsi="Tahoma" w:cs="Tahoma"/>
        </w:rPr>
        <w:t>l Sistema General de Participaciones,</w:t>
      </w:r>
      <w:r w:rsidR="001D3576">
        <w:rPr>
          <w:rFonts w:ascii="Tahoma" w:hAnsi="Tahoma" w:cs="Tahoma"/>
        </w:rPr>
        <w:t xml:space="preserve"> Propósito General, Recurso</w:t>
      </w:r>
      <w:r w:rsidR="00EA7A00">
        <w:rPr>
          <w:rFonts w:ascii="Tahoma" w:hAnsi="Tahoma" w:cs="Tahoma"/>
        </w:rPr>
        <w:t>s</w:t>
      </w:r>
      <w:r w:rsidR="001D3576">
        <w:rPr>
          <w:rFonts w:ascii="Tahoma" w:hAnsi="Tahoma" w:cs="Tahoma"/>
        </w:rPr>
        <w:t xml:space="preserve"> de Cofinanciación y el Fondo Local de salud</w:t>
      </w:r>
      <w:r w:rsidR="00EA7A00">
        <w:rPr>
          <w:rFonts w:ascii="Tahoma" w:hAnsi="Tahoma" w:cs="Tahoma"/>
        </w:rPr>
        <w:t xml:space="preserve">. </w:t>
      </w:r>
    </w:p>
    <w:p w:rsidR="008032B9" w:rsidRDefault="008032B9" w:rsidP="009848DF">
      <w:pPr>
        <w:tabs>
          <w:tab w:val="left" w:pos="2835"/>
        </w:tabs>
        <w:spacing w:before="0" w:after="0" w:line="19" w:lineRule="atLeast"/>
        <w:jc w:val="both"/>
        <w:rPr>
          <w:rFonts w:ascii="Tahoma" w:hAnsi="Tahoma" w:cs="Tahoma"/>
          <w:b/>
          <w:noProof/>
          <w:color w:val="auto"/>
        </w:rPr>
      </w:pPr>
    </w:p>
    <w:p w:rsidR="00915224" w:rsidRDefault="00915224" w:rsidP="00691813">
      <w:pPr>
        <w:tabs>
          <w:tab w:val="left" w:pos="2835"/>
        </w:tabs>
        <w:spacing w:before="0" w:after="0" w:line="19" w:lineRule="atLeast"/>
        <w:rPr>
          <w:rFonts w:ascii="Tahoma" w:hAnsi="Tahoma" w:cs="Tahoma"/>
          <w:noProof/>
          <w:color w:val="auto"/>
        </w:rPr>
      </w:pPr>
    </w:p>
    <w:p w:rsidR="00691813" w:rsidRDefault="002E4D5C" w:rsidP="00691813">
      <w:pPr>
        <w:tabs>
          <w:tab w:val="left" w:pos="2835"/>
        </w:tabs>
        <w:spacing w:before="0" w:after="0" w:line="19" w:lineRule="atLeast"/>
        <w:jc w:val="center"/>
        <w:rPr>
          <w:rFonts w:ascii="Tahoma" w:hAnsi="Tahoma" w:cs="Tahoma"/>
          <w:noProof/>
          <w:color w:val="auto"/>
        </w:rPr>
      </w:pPr>
      <w:r>
        <w:rPr>
          <w:rFonts w:ascii="Tahoma" w:hAnsi="Tahoma" w:cs="Tahoma"/>
          <w:noProof/>
          <w:color w:val="auto"/>
        </w:rPr>
        <w:lastRenderedPageBreak/>
        <w:drawing>
          <wp:inline distT="0" distB="0" distL="0" distR="0">
            <wp:extent cx="5486400" cy="2910840"/>
            <wp:effectExtent l="0" t="0" r="19050" b="2286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073CF" w:rsidRDefault="001055EC" w:rsidP="00471A9A">
      <w:pPr>
        <w:tabs>
          <w:tab w:val="left" w:pos="3924"/>
        </w:tabs>
        <w:jc w:val="center"/>
        <w:rPr>
          <w:rFonts w:ascii="Tahoma" w:hAnsi="Tahoma" w:cs="Tahoma"/>
        </w:rPr>
      </w:pPr>
      <w:r>
        <w:rPr>
          <w:rFonts w:ascii="Tahoma" w:hAnsi="Tahoma" w:cs="Tahoma"/>
        </w:rPr>
        <w:t xml:space="preserve"> </w:t>
      </w:r>
    </w:p>
    <w:p w:rsidR="00D27BCA" w:rsidRPr="001D3576" w:rsidRDefault="00EE40F7" w:rsidP="001D3576">
      <w:pPr>
        <w:spacing w:before="0" w:after="0" w:line="19" w:lineRule="atLeast"/>
        <w:rPr>
          <w:rFonts w:ascii="Tahoma" w:hAnsi="Tahoma" w:cs="Tahoma"/>
          <w:b/>
        </w:rPr>
      </w:pPr>
      <w:r w:rsidRPr="001D3576">
        <w:rPr>
          <w:rFonts w:ascii="Tahoma" w:hAnsi="Tahoma" w:cs="Tahoma"/>
          <w:b/>
        </w:rPr>
        <w:t xml:space="preserve">2.2   </w:t>
      </w:r>
      <w:r w:rsidR="00D27BCA" w:rsidRPr="001D3576">
        <w:rPr>
          <w:rFonts w:ascii="Tahoma" w:hAnsi="Tahoma" w:cs="Tahoma"/>
          <w:b/>
        </w:rPr>
        <w:t>ANALISIS A LA EJECUCION  PRESUPUESTAL DE  GASTOS</w:t>
      </w:r>
    </w:p>
    <w:p w:rsidR="00481490" w:rsidRDefault="00481490" w:rsidP="001D6862">
      <w:pPr>
        <w:spacing w:before="0" w:after="0"/>
        <w:jc w:val="both"/>
        <w:rPr>
          <w:rFonts w:ascii="Tahoma" w:hAnsi="Tahoma" w:cs="Tahoma"/>
          <w:bCs/>
          <w:color w:val="auto"/>
        </w:rPr>
      </w:pPr>
    </w:p>
    <w:p w:rsidR="00682367" w:rsidRPr="00062C97" w:rsidRDefault="00682367" w:rsidP="00682367">
      <w:pPr>
        <w:tabs>
          <w:tab w:val="left" w:pos="2835"/>
        </w:tabs>
        <w:spacing w:before="0" w:after="0" w:line="19" w:lineRule="atLeast"/>
        <w:jc w:val="both"/>
        <w:rPr>
          <w:rFonts w:ascii="Tahoma" w:eastAsia="Times New Roman" w:hAnsi="Tahoma" w:cs="Tahoma"/>
          <w:bCs/>
          <w:color w:val="auto"/>
        </w:rPr>
      </w:pPr>
      <w:r w:rsidRPr="005540CE">
        <w:rPr>
          <w:rFonts w:ascii="Tahoma" w:hAnsi="Tahoma" w:cs="Tahoma"/>
        </w:rPr>
        <w:t xml:space="preserve">El presupuesto </w:t>
      </w:r>
      <w:r>
        <w:rPr>
          <w:rFonts w:ascii="Tahoma" w:hAnsi="Tahoma" w:cs="Tahoma"/>
        </w:rPr>
        <w:t xml:space="preserve">de </w:t>
      </w:r>
      <w:r w:rsidR="00950A8A">
        <w:rPr>
          <w:rFonts w:ascii="Tahoma" w:hAnsi="Tahoma" w:cs="Tahoma"/>
        </w:rPr>
        <w:t>Gastos</w:t>
      </w:r>
      <w:r>
        <w:rPr>
          <w:rFonts w:ascii="Tahoma" w:hAnsi="Tahoma" w:cs="Tahoma"/>
        </w:rPr>
        <w:t xml:space="preserve"> del Municipio de </w:t>
      </w:r>
      <w:r w:rsidR="007F5A79">
        <w:rPr>
          <w:rFonts w:ascii="Tahoma" w:hAnsi="Tahoma" w:cs="Tahoma"/>
          <w:color w:val="auto"/>
        </w:rPr>
        <w:t xml:space="preserve">Anzoátegui </w:t>
      </w:r>
      <w:r>
        <w:rPr>
          <w:rFonts w:ascii="Tahoma" w:hAnsi="Tahoma" w:cs="Tahoma"/>
        </w:rPr>
        <w:t xml:space="preserve">para la vigencia fiscal 2015 fue aprobado en la cuantía </w:t>
      </w:r>
      <w:r w:rsidRPr="00E85A59">
        <w:rPr>
          <w:rFonts w:ascii="Tahoma" w:hAnsi="Tahoma" w:cs="Tahoma"/>
        </w:rPr>
        <w:t xml:space="preserve">de </w:t>
      </w:r>
      <w:r w:rsidRPr="00E85A59">
        <w:rPr>
          <w:rFonts w:ascii="Tahoma" w:hAnsi="Tahoma" w:cs="Tahoma"/>
          <w:b/>
          <w:color w:val="auto"/>
        </w:rPr>
        <w:t>$</w:t>
      </w:r>
      <w:r w:rsidR="00D62647" w:rsidRPr="00D62647">
        <w:rPr>
          <w:rFonts w:ascii="Tahoma" w:hAnsi="Tahoma" w:cs="Tahoma"/>
          <w:b/>
          <w:color w:val="auto"/>
        </w:rPr>
        <w:t>11.979.460.000</w:t>
      </w:r>
      <w:r w:rsidR="00062C97">
        <w:rPr>
          <w:rFonts w:ascii="Tahoma" w:hAnsi="Tahoma" w:cs="Tahoma"/>
          <w:b/>
          <w:color w:val="auto"/>
        </w:rPr>
        <w:t>.oo</w:t>
      </w:r>
      <w:r w:rsidRPr="00E85A59">
        <w:rPr>
          <w:rFonts w:ascii="Tahoma" w:hAnsi="Tahoma" w:cs="Tahoma"/>
          <w:b/>
          <w:color w:val="auto"/>
        </w:rPr>
        <w:t>,</w:t>
      </w:r>
      <w:r w:rsidR="00950A8A" w:rsidRPr="00E85A59">
        <w:rPr>
          <w:rFonts w:ascii="Tahoma" w:hAnsi="Tahoma" w:cs="Tahoma"/>
          <w:b/>
          <w:color w:val="auto"/>
        </w:rPr>
        <w:t xml:space="preserve"> </w:t>
      </w:r>
      <w:r w:rsidR="00950A8A" w:rsidRPr="00E85A59">
        <w:rPr>
          <w:rFonts w:ascii="Tahoma" w:hAnsi="Tahoma" w:cs="Tahoma"/>
          <w:color w:val="auto"/>
        </w:rPr>
        <w:t>presentó</w:t>
      </w:r>
      <w:r>
        <w:rPr>
          <w:rFonts w:ascii="Tahoma" w:hAnsi="Tahoma" w:cs="Tahoma"/>
          <w:b/>
          <w:color w:val="auto"/>
        </w:rPr>
        <w:t xml:space="preserve"> </w:t>
      </w:r>
      <w:r w:rsidRPr="00DA6502">
        <w:rPr>
          <w:rFonts w:ascii="Tahoma" w:hAnsi="Tahoma" w:cs="Tahoma"/>
          <w:color w:val="auto"/>
        </w:rPr>
        <w:t>adiciones</w:t>
      </w:r>
      <w:r>
        <w:rPr>
          <w:rFonts w:ascii="Tahoma" w:hAnsi="Tahoma" w:cs="Tahoma"/>
          <w:color w:val="auto"/>
        </w:rPr>
        <w:t xml:space="preserve"> presupuestales por</w:t>
      </w:r>
      <w:r w:rsidRPr="00DA6502">
        <w:rPr>
          <w:rFonts w:ascii="Tahoma" w:hAnsi="Tahoma" w:cs="Tahoma"/>
          <w:color w:val="auto"/>
        </w:rPr>
        <w:t xml:space="preserve"> $</w:t>
      </w:r>
      <w:r w:rsidR="00D62647" w:rsidRPr="00D62647">
        <w:rPr>
          <w:rFonts w:ascii="Tahoma" w:hAnsi="Tahoma" w:cs="Tahoma"/>
          <w:color w:val="auto"/>
        </w:rPr>
        <w:t>9.120.586.017</w:t>
      </w:r>
      <w:r>
        <w:rPr>
          <w:rFonts w:ascii="Tahoma" w:eastAsia="Times New Roman" w:hAnsi="Tahoma" w:cs="Tahoma"/>
          <w:bCs/>
          <w:color w:val="auto"/>
        </w:rPr>
        <w:t>.oo y reducciones por $</w:t>
      </w:r>
      <w:r w:rsidR="00D62647" w:rsidRPr="00D62647">
        <w:rPr>
          <w:rFonts w:ascii="Tahoma" w:eastAsia="Times New Roman" w:hAnsi="Tahoma" w:cs="Tahoma"/>
          <w:bCs/>
          <w:color w:val="auto"/>
        </w:rPr>
        <w:t>731.372.399</w:t>
      </w:r>
      <w:r>
        <w:rPr>
          <w:rFonts w:ascii="Tahoma" w:eastAsia="Times New Roman" w:hAnsi="Tahoma" w:cs="Tahoma"/>
          <w:bCs/>
          <w:color w:val="auto"/>
        </w:rPr>
        <w:t>.oo, para un presupuesto definitivo a Diciembre 31 de 2015 de $</w:t>
      </w:r>
      <w:r w:rsidR="00D62647" w:rsidRPr="00D62647">
        <w:rPr>
          <w:rFonts w:ascii="Tahoma" w:eastAsia="Times New Roman" w:hAnsi="Tahoma" w:cs="Tahoma"/>
          <w:bCs/>
          <w:color w:val="auto"/>
        </w:rPr>
        <w:t>20.368.673.618</w:t>
      </w:r>
      <w:r>
        <w:rPr>
          <w:rFonts w:ascii="Tahoma" w:eastAsia="Times New Roman" w:hAnsi="Tahoma" w:cs="Tahoma"/>
          <w:b/>
          <w:bCs/>
          <w:color w:val="auto"/>
        </w:rPr>
        <w:t>.</w:t>
      </w:r>
      <w:r w:rsidR="00062C97" w:rsidRPr="00062C97">
        <w:rPr>
          <w:rFonts w:ascii="Tahoma" w:eastAsia="Times New Roman" w:hAnsi="Tahoma" w:cs="Tahoma"/>
          <w:bCs/>
          <w:color w:val="auto"/>
        </w:rPr>
        <w:t>oo</w:t>
      </w:r>
    </w:p>
    <w:p w:rsidR="00231ECA" w:rsidRDefault="00231ECA" w:rsidP="00682367">
      <w:pPr>
        <w:tabs>
          <w:tab w:val="left" w:pos="2835"/>
        </w:tabs>
        <w:spacing w:before="0" w:after="0" w:line="19" w:lineRule="atLeast"/>
        <w:jc w:val="both"/>
        <w:rPr>
          <w:rFonts w:ascii="Tahoma" w:eastAsia="Times New Roman" w:hAnsi="Tahoma" w:cs="Tahoma"/>
          <w:b/>
          <w:bCs/>
          <w:color w:val="auto"/>
        </w:rPr>
      </w:pPr>
    </w:p>
    <w:p w:rsidR="00682367" w:rsidRDefault="00682367" w:rsidP="00682367">
      <w:pPr>
        <w:tabs>
          <w:tab w:val="left" w:pos="2835"/>
        </w:tabs>
        <w:spacing w:before="0" w:after="0" w:line="19" w:lineRule="atLeast"/>
        <w:jc w:val="both"/>
        <w:rPr>
          <w:rFonts w:ascii="Tahoma" w:eastAsia="Times New Roman" w:hAnsi="Tahoma" w:cs="Tahoma"/>
          <w:b/>
          <w:bCs/>
          <w:color w:val="auto"/>
        </w:rPr>
      </w:pPr>
    </w:p>
    <w:tbl>
      <w:tblPr>
        <w:tblStyle w:val="Tablaconcuadrcula"/>
        <w:tblW w:w="9057" w:type="dxa"/>
        <w:tblLayout w:type="fixed"/>
        <w:tblLook w:val="04A0" w:firstRow="1" w:lastRow="0" w:firstColumn="1" w:lastColumn="0" w:noHBand="0" w:noVBand="1"/>
      </w:tblPr>
      <w:tblGrid>
        <w:gridCol w:w="2376"/>
        <w:gridCol w:w="2268"/>
        <w:gridCol w:w="1843"/>
        <w:gridCol w:w="2570"/>
      </w:tblGrid>
      <w:tr w:rsidR="00062C97" w:rsidRPr="00BA1DE4" w:rsidTr="00797231">
        <w:trPr>
          <w:trHeight w:val="327"/>
        </w:trPr>
        <w:tc>
          <w:tcPr>
            <w:tcW w:w="2376"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INICIAL</w:t>
            </w:r>
          </w:p>
        </w:tc>
        <w:tc>
          <w:tcPr>
            <w:tcW w:w="2268"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ADICIONES</w:t>
            </w:r>
          </w:p>
        </w:tc>
        <w:tc>
          <w:tcPr>
            <w:tcW w:w="1843"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REDUCCIONES</w:t>
            </w:r>
          </w:p>
        </w:tc>
        <w:tc>
          <w:tcPr>
            <w:tcW w:w="2570" w:type="dxa"/>
          </w:tcPr>
          <w:p w:rsidR="00062C97" w:rsidRPr="00B26183" w:rsidRDefault="00062C97" w:rsidP="00797231">
            <w:pPr>
              <w:tabs>
                <w:tab w:val="left" w:pos="2835"/>
              </w:tabs>
              <w:spacing w:before="0" w:line="19" w:lineRule="atLeast"/>
              <w:jc w:val="center"/>
              <w:rPr>
                <w:rFonts w:ascii="Tahoma" w:eastAsia="Times New Roman" w:hAnsi="Tahoma" w:cs="Tahoma"/>
                <w:bCs/>
                <w:color w:val="auto"/>
                <w:sz w:val="20"/>
                <w:szCs w:val="20"/>
              </w:rPr>
            </w:pPr>
            <w:r w:rsidRPr="00B26183">
              <w:rPr>
                <w:rFonts w:ascii="Tahoma" w:eastAsia="Times New Roman" w:hAnsi="Tahoma" w:cs="Tahoma"/>
                <w:bCs/>
                <w:color w:val="auto"/>
                <w:sz w:val="20"/>
                <w:szCs w:val="20"/>
              </w:rPr>
              <w:t>PRESUPUESTO DEFINITIVO</w:t>
            </w:r>
          </w:p>
        </w:tc>
      </w:tr>
      <w:tr w:rsidR="00062C97" w:rsidRPr="00BA1DE4" w:rsidTr="00797231">
        <w:trPr>
          <w:trHeight w:val="551"/>
        </w:trPr>
        <w:tc>
          <w:tcPr>
            <w:tcW w:w="2376" w:type="dxa"/>
          </w:tcPr>
          <w:p w:rsidR="00062C97" w:rsidRPr="00B26183" w:rsidRDefault="00062C97" w:rsidP="00797231">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sidR="00D62647" w:rsidRPr="00D62647">
              <w:rPr>
                <w:rFonts w:ascii="Tahoma" w:hAnsi="Tahoma" w:cs="Tahoma"/>
                <w:color w:val="auto"/>
                <w:sz w:val="20"/>
                <w:szCs w:val="20"/>
              </w:rPr>
              <w:t>11.979.460.000</w:t>
            </w:r>
            <w:r w:rsidRPr="00B26183">
              <w:rPr>
                <w:rFonts w:ascii="Tahoma" w:hAnsi="Tahoma" w:cs="Tahoma"/>
                <w:color w:val="auto"/>
                <w:sz w:val="20"/>
                <w:szCs w:val="20"/>
              </w:rPr>
              <w:t>.oo</w:t>
            </w:r>
          </w:p>
        </w:tc>
        <w:tc>
          <w:tcPr>
            <w:tcW w:w="2268" w:type="dxa"/>
          </w:tcPr>
          <w:p w:rsidR="00062C97" w:rsidRPr="00B26183" w:rsidRDefault="00062C97" w:rsidP="00D62647">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hAnsi="Tahoma" w:cs="Tahoma"/>
                <w:color w:val="auto"/>
                <w:sz w:val="20"/>
                <w:szCs w:val="20"/>
              </w:rPr>
              <w:t>$</w:t>
            </w:r>
            <w:r w:rsidR="00D62647" w:rsidRPr="00D62647">
              <w:rPr>
                <w:rFonts w:ascii="Tahoma" w:hAnsi="Tahoma" w:cs="Tahoma"/>
                <w:color w:val="auto"/>
                <w:sz w:val="20"/>
                <w:szCs w:val="20"/>
              </w:rPr>
              <w:t>9.120.586.017</w:t>
            </w:r>
            <w:r w:rsidRPr="00B26183">
              <w:rPr>
                <w:rFonts w:ascii="Tahoma" w:eastAsia="Times New Roman" w:hAnsi="Tahoma" w:cs="Tahoma"/>
                <w:bCs/>
                <w:color w:val="auto"/>
                <w:sz w:val="20"/>
                <w:szCs w:val="20"/>
              </w:rPr>
              <w:t>.oo</w:t>
            </w:r>
          </w:p>
        </w:tc>
        <w:tc>
          <w:tcPr>
            <w:tcW w:w="1843" w:type="dxa"/>
          </w:tcPr>
          <w:p w:rsidR="00062C97" w:rsidRPr="00B26183" w:rsidRDefault="00062C97" w:rsidP="00D62647">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w:t>
            </w:r>
            <w:r w:rsidR="00D62647" w:rsidRPr="00D62647">
              <w:rPr>
                <w:rFonts w:ascii="Tahoma" w:eastAsia="Times New Roman" w:hAnsi="Tahoma" w:cs="Tahoma"/>
                <w:bCs/>
                <w:color w:val="auto"/>
                <w:sz w:val="20"/>
                <w:szCs w:val="20"/>
              </w:rPr>
              <w:t>731.372.399</w:t>
            </w:r>
            <w:r w:rsidRPr="00B26183">
              <w:rPr>
                <w:rFonts w:ascii="Tahoma" w:eastAsia="Times New Roman" w:hAnsi="Tahoma" w:cs="Tahoma"/>
                <w:bCs/>
                <w:color w:val="auto"/>
                <w:sz w:val="20"/>
                <w:szCs w:val="20"/>
              </w:rPr>
              <w:t>.oo</w:t>
            </w:r>
          </w:p>
        </w:tc>
        <w:tc>
          <w:tcPr>
            <w:tcW w:w="2570" w:type="dxa"/>
          </w:tcPr>
          <w:p w:rsidR="00062C97" w:rsidRPr="00B26183" w:rsidRDefault="00062C97" w:rsidP="00D62647">
            <w:pPr>
              <w:tabs>
                <w:tab w:val="left" w:pos="2835"/>
              </w:tabs>
              <w:spacing w:before="0" w:line="19" w:lineRule="atLeast"/>
              <w:jc w:val="right"/>
              <w:rPr>
                <w:rFonts w:ascii="Tahoma" w:eastAsia="Times New Roman" w:hAnsi="Tahoma" w:cs="Tahoma"/>
                <w:bCs/>
                <w:color w:val="auto"/>
                <w:sz w:val="20"/>
                <w:szCs w:val="20"/>
                <w:vertAlign w:val="subscript"/>
              </w:rPr>
            </w:pPr>
            <w:r w:rsidRPr="00B26183">
              <w:rPr>
                <w:rFonts w:ascii="Tahoma" w:eastAsia="Times New Roman" w:hAnsi="Tahoma" w:cs="Tahoma"/>
                <w:bCs/>
                <w:color w:val="auto"/>
                <w:sz w:val="20"/>
                <w:szCs w:val="20"/>
              </w:rPr>
              <w:t>$</w:t>
            </w:r>
            <w:r w:rsidR="00D62647" w:rsidRPr="00D62647">
              <w:rPr>
                <w:rFonts w:ascii="Tahoma" w:eastAsia="Times New Roman" w:hAnsi="Tahoma" w:cs="Tahoma"/>
                <w:bCs/>
                <w:color w:val="auto"/>
                <w:sz w:val="20"/>
                <w:szCs w:val="20"/>
              </w:rPr>
              <w:t>20.368.673.618</w:t>
            </w:r>
            <w:r w:rsidRPr="00B26183">
              <w:rPr>
                <w:rFonts w:ascii="Tahoma" w:eastAsia="Times New Roman" w:hAnsi="Tahoma" w:cs="Tahoma"/>
                <w:bCs/>
                <w:color w:val="auto"/>
                <w:sz w:val="20"/>
                <w:szCs w:val="20"/>
              </w:rPr>
              <w:t>.oo</w:t>
            </w:r>
          </w:p>
        </w:tc>
      </w:tr>
    </w:tbl>
    <w:p w:rsidR="00682367" w:rsidRDefault="00682367" w:rsidP="00C142B1">
      <w:pPr>
        <w:spacing w:before="0" w:after="0"/>
        <w:jc w:val="both"/>
        <w:rPr>
          <w:rFonts w:ascii="Tahoma" w:hAnsi="Tahoma" w:cs="Tahoma"/>
          <w:szCs w:val="24"/>
        </w:rPr>
      </w:pPr>
    </w:p>
    <w:p w:rsidR="00C32B9A" w:rsidRDefault="00C32B9A" w:rsidP="00C32B9A">
      <w:pPr>
        <w:spacing w:before="0" w:after="0"/>
        <w:rPr>
          <w:rFonts w:ascii="Tahoma" w:hAnsi="Tahoma" w:cs="Tahoma"/>
          <w:b/>
          <w:bCs/>
        </w:rPr>
      </w:pPr>
      <w:r w:rsidRPr="005A1AE4">
        <w:rPr>
          <w:rFonts w:ascii="Tahoma" w:hAnsi="Tahoma" w:cs="Tahoma"/>
          <w:b/>
          <w:bCs/>
        </w:rPr>
        <w:t xml:space="preserve">PRESUPUESTO INICIAL    </w:t>
      </w:r>
    </w:p>
    <w:p w:rsidR="00C32B9A" w:rsidRPr="002510E7" w:rsidRDefault="00C32B9A" w:rsidP="00C32B9A">
      <w:pPr>
        <w:spacing w:before="0" w:after="0"/>
        <w:rPr>
          <w:rFonts w:ascii="Tahoma" w:hAnsi="Tahoma" w:cs="Tahoma"/>
          <w:b/>
          <w:bCs/>
          <w:sz w:val="16"/>
        </w:rPr>
      </w:pPr>
    </w:p>
    <w:p w:rsidR="00C32B9A" w:rsidRDefault="00C32B9A" w:rsidP="00C32B9A">
      <w:pPr>
        <w:spacing w:before="0" w:after="0"/>
        <w:jc w:val="both"/>
        <w:rPr>
          <w:rFonts w:ascii="Tahoma" w:hAnsi="Tahoma" w:cs="Tahoma"/>
          <w:color w:val="auto"/>
        </w:rPr>
      </w:pPr>
      <w:r w:rsidRPr="00C32B9A">
        <w:rPr>
          <w:rFonts w:ascii="Tahoma" w:hAnsi="Tahoma" w:cs="Tahoma"/>
          <w:color w:val="auto"/>
        </w:rPr>
        <w:t>El presupuesto de Gastos aprobado para la vigencia 2015 del Municipio  de</w:t>
      </w:r>
      <w:r w:rsidR="00D62647">
        <w:rPr>
          <w:rFonts w:ascii="Tahoma" w:hAnsi="Tahoma" w:cs="Tahoma"/>
          <w:color w:val="auto"/>
        </w:rPr>
        <w:t xml:space="preserve"> Anzoátegui</w:t>
      </w:r>
      <w:r w:rsidRPr="00C32B9A">
        <w:rPr>
          <w:rFonts w:ascii="Tahoma" w:hAnsi="Tahoma" w:cs="Tahoma"/>
          <w:color w:val="auto"/>
        </w:rPr>
        <w:t>, fue de $</w:t>
      </w:r>
      <w:r w:rsidR="00D62647">
        <w:rPr>
          <w:rFonts w:ascii="Tahoma" w:hAnsi="Tahoma" w:cs="Tahoma"/>
          <w:color w:val="auto"/>
        </w:rPr>
        <w:t>11.979</w:t>
      </w:r>
      <w:r w:rsidR="00881C9C">
        <w:rPr>
          <w:rFonts w:ascii="Tahoma" w:hAnsi="Tahoma" w:cs="Tahoma"/>
          <w:color w:val="auto"/>
        </w:rPr>
        <w:t xml:space="preserve"> millones</w:t>
      </w:r>
      <w:r w:rsidRPr="00C32B9A">
        <w:rPr>
          <w:rFonts w:ascii="Tahoma" w:hAnsi="Tahoma" w:cs="Tahoma"/>
          <w:color w:val="auto"/>
        </w:rPr>
        <w:t>, de los cuales $</w:t>
      </w:r>
      <w:r w:rsidR="00D62647">
        <w:rPr>
          <w:rFonts w:ascii="Tahoma" w:hAnsi="Tahoma" w:cs="Tahoma"/>
          <w:color w:val="auto"/>
        </w:rPr>
        <w:t>1.728</w:t>
      </w:r>
      <w:r w:rsidR="00881C9C">
        <w:rPr>
          <w:rFonts w:ascii="Tahoma" w:hAnsi="Tahoma" w:cs="Tahoma"/>
          <w:color w:val="auto"/>
        </w:rPr>
        <w:t xml:space="preserve"> millones</w:t>
      </w:r>
      <w:r w:rsidRPr="00C32B9A">
        <w:rPr>
          <w:rFonts w:ascii="Tahoma" w:hAnsi="Tahoma" w:cs="Tahoma"/>
          <w:color w:val="auto"/>
        </w:rPr>
        <w:t xml:space="preserve"> correspondieron a Gastos de funcionamiento, es decir un </w:t>
      </w:r>
      <w:r w:rsidR="00D62647">
        <w:rPr>
          <w:rFonts w:ascii="Tahoma" w:hAnsi="Tahoma" w:cs="Tahoma"/>
          <w:color w:val="auto"/>
        </w:rPr>
        <w:t>14.43</w:t>
      </w:r>
      <w:r w:rsidR="000344EC">
        <w:rPr>
          <w:rFonts w:ascii="Tahoma" w:hAnsi="Tahoma" w:cs="Tahoma"/>
          <w:color w:val="auto"/>
        </w:rPr>
        <w:t>%, Deuda P</w:t>
      </w:r>
      <w:r w:rsidR="00D62647">
        <w:rPr>
          <w:rFonts w:ascii="Tahoma" w:hAnsi="Tahoma" w:cs="Tahoma"/>
          <w:color w:val="auto"/>
        </w:rPr>
        <w:t>ública 0</w:t>
      </w:r>
      <w:r w:rsidR="000344EC">
        <w:rPr>
          <w:rFonts w:ascii="Tahoma" w:hAnsi="Tahoma" w:cs="Tahoma"/>
          <w:color w:val="auto"/>
        </w:rPr>
        <w:t xml:space="preserve">% </w:t>
      </w:r>
      <w:r w:rsidRPr="00C32B9A">
        <w:rPr>
          <w:rFonts w:ascii="Tahoma" w:hAnsi="Tahoma" w:cs="Tahoma"/>
          <w:color w:val="auto"/>
        </w:rPr>
        <w:t>y Gastos de Inversión</w:t>
      </w:r>
      <w:r w:rsidR="00D62647">
        <w:rPr>
          <w:rFonts w:ascii="Tahoma" w:hAnsi="Tahoma" w:cs="Tahoma"/>
          <w:color w:val="auto"/>
        </w:rPr>
        <w:t xml:space="preserve"> $10.250</w:t>
      </w:r>
      <w:r w:rsidR="000344EC">
        <w:rPr>
          <w:rFonts w:ascii="Tahoma" w:hAnsi="Tahoma" w:cs="Tahoma"/>
          <w:color w:val="auto"/>
        </w:rPr>
        <w:t xml:space="preserve"> millones</w:t>
      </w:r>
      <w:r w:rsidR="00D62647">
        <w:rPr>
          <w:rFonts w:ascii="Tahoma" w:hAnsi="Tahoma" w:cs="Tahoma"/>
          <w:color w:val="auto"/>
        </w:rPr>
        <w:t xml:space="preserve"> con un 85.57</w:t>
      </w:r>
      <w:r w:rsidRPr="00C32B9A">
        <w:rPr>
          <w:rFonts w:ascii="Tahoma" w:hAnsi="Tahoma" w:cs="Tahoma"/>
          <w:color w:val="auto"/>
        </w:rPr>
        <w:t>%.</w:t>
      </w:r>
      <w:r w:rsidR="00A566FE">
        <w:rPr>
          <w:rFonts w:ascii="Tahoma" w:hAnsi="Tahoma" w:cs="Tahoma"/>
          <w:color w:val="auto"/>
        </w:rPr>
        <w:t xml:space="preserve">  Ver gráfico</w:t>
      </w:r>
      <w:r w:rsidR="00CB6457">
        <w:rPr>
          <w:rFonts w:ascii="Tahoma" w:hAnsi="Tahoma" w:cs="Tahoma"/>
          <w:color w:val="auto"/>
        </w:rPr>
        <w:t>.</w:t>
      </w:r>
    </w:p>
    <w:p w:rsidR="006948C5" w:rsidRDefault="006948C5" w:rsidP="00C32B9A">
      <w:pPr>
        <w:spacing w:before="0" w:after="0"/>
        <w:jc w:val="both"/>
        <w:rPr>
          <w:rFonts w:ascii="Tahoma" w:hAnsi="Tahoma" w:cs="Tahoma"/>
          <w:color w:val="auto"/>
        </w:rPr>
      </w:pPr>
    </w:p>
    <w:p w:rsidR="006948C5" w:rsidRPr="00C32B9A" w:rsidRDefault="006948C5" w:rsidP="00C32B9A">
      <w:pPr>
        <w:spacing w:before="0" w:after="0"/>
        <w:jc w:val="both"/>
        <w:rPr>
          <w:rFonts w:ascii="Tahoma" w:hAnsi="Tahoma" w:cs="Tahoma"/>
          <w:color w:val="auto"/>
        </w:rPr>
      </w:pPr>
      <w:r>
        <w:rPr>
          <w:rFonts w:ascii="Tahoma" w:hAnsi="Tahoma" w:cs="Tahoma"/>
          <w:noProof/>
          <w:color w:val="auto"/>
        </w:rPr>
        <w:lastRenderedPageBreak/>
        <w:drawing>
          <wp:inline distT="0" distB="0" distL="0" distR="0" wp14:anchorId="091CEF7E" wp14:editId="361C79B5">
            <wp:extent cx="5486400" cy="2815200"/>
            <wp:effectExtent l="0" t="0" r="0" b="444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948C5" w:rsidRDefault="00C32B9A" w:rsidP="00C32B9A">
      <w:pPr>
        <w:spacing w:before="0" w:after="0"/>
        <w:jc w:val="both"/>
        <w:rPr>
          <w:rFonts w:ascii="Tahoma" w:hAnsi="Tahoma" w:cs="Tahoma"/>
          <w:color w:val="auto"/>
        </w:rPr>
      </w:pPr>
      <w:r>
        <w:rPr>
          <w:rFonts w:ascii="Tahoma" w:hAnsi="Tahoma" w:cs="Tahoma"/>
          <w:color w:val="auto"/>
        </w:rPr>
        <w:t xml:space="preserve"> </w:t>
      </w:r>
    </w:p>
    <w:p w:rsidR="0056750E" w:rsidRDefault="00595DA7" w:rsidP="0056750E">
      <w:pPr>
        <w:spacing w:before="0" w:after="0"/>
        <w:jc w:val="both"/>
        <w:rPr>
          <w:rFonts w:ascii="Tahoma" w:hAnsi="Tahoma" w:cs="Tahoma"/>
          <w:color w:val="auto"/>
        </w:rPr>
      </w:pPr>
      <w:r w:rsidRPr="00E255C8">
        <w:rPr>
          <w:rFonts w:ascii="Tahoma" w:hAnsi="Tahoma" w:cs="Tahoma"/>
          <w:b/>
          <w:color w:val="auto"/>
        </w:rPr>
        <w:t>Los Gastos de Funcionamiento</w:t>
      </w:r>
      <w:r>
        <w:rPr>
          <w:rFonts w:ascii="Tahoma" w:hAnsi="Tahoma" w:cs="Tahoma"/>
          <w:color w:val="auto"/>
        </w:rPr>
        <w:t xml:space="preserve"> se subdividieron en</w:t>
      </w:r>
      <w:r w:rsidR="005325B4">
        <w:rPr>
          <w:rFonts w:ascii="Tahoma" w:hAnsi="Tahoma" w:cs="Tahoma"/>
          <w:color w:val="auto"/>
        </w:rPr>
        <w:t xml:space="preserve"> Servicios Personales</w:t>
      </w:r>
      <w:r w:rsidR="00815CEE">
        <w:rPr>
          <w:rFonts w:ascii="Tahoma" w:hAnsi="Tahoma" w:cs="Tahoma"/>
          <w:color w:val="auto"/>
        </w:rPr>
        <w:t xml:space="preserve"> con $</w:t>
      </w:r>
      <w:r w:rsidR="007430EF">
        <w:rPr>
          <w:rFonts w:ascii="Tahoma" w:hAnsi="Tahoma" w:cs="Tahoma"/>
          <w:color w:val="auto"/>
        </w:rPr>
        <w:t>534</w:t>
      </w:r>
      <w:r w:rsidR="00881C9C">
        <w:rPr>
          <w:rFonts w:ascii="Tahoma" w:hAnsi="Tahoma" w:cs="Tahoma"/>
          <w:color w:val="auto"/>
        </w:rPr>
        <w:t xml:space="preserve"> millones</w:t>
      </w:r>
      <w:r w:rsidR="00815CEE">
        <w:rPr>
          <w:rFonts w:ascii="Tahoma" w:hAnsi="Tahoma" w:cs="Tahoma"/>
          <w:color w:val="auto"/>
        </w:rPr>
        <w:t xml:space="preserve">, es decir con un </w:t>
      </w:r>
      <w:r w:rsidR="007430EF">
        <w:rPr>
          <w:rFonts w:ascii="Tahoma" w:hAnsi="Tahoma" w:cs="Tahoma"/>
          <w:color w:val="auto"/>
        </w:rPr>
        <w:t>4.46</w:t>
      </w:r>
      <w:r w:rsidR="00815CEE" w:rsidRPr="003539AE">
        <w:rPr>
          <w:rFonts w:ascii="Tahoma" w:hAnsi="Tahoma" w:cs="Tahoma"/>
          <w:color w:val="auto"/>
        </w:rPr>
        <w:t>%</w:t>
      </w:r>
      <w:r w:rsidR="00BE515D">
        <w:rPr>
          <w:rFonts w:ascii="Tahoma" w:hAnsi="Tahoma" w:cs="Tahoma"/>
          <w:color w:val="auto"/>
        </w:rPr>
        <w:t>, Transferencias</w:t>
      </w:r>
      <w:r w:rsidR="00815CEE" w:rsidRPr="003539AE">
        <w:rPr>
          <w:rFonts w:ascii="Tahoma" w:hAnsi="Tahoma" w:cs="Tahoma"/>
          <w:color w:val="auto"/>
        </w:rPr>
        <w:t xml:space="preserve"> $</w:t>
      </w:r>
      <w:r w:rsidR="007430EF">
        <w:rPr>
          <w:rFonts w:ascii="Tahoma" w:hAnsi="Tahoma" w:cs="Tahoma"/>
          <w:color w:val="auto"/>
        </w:rPr>
        <w:t>681</w:t>
      </w:r>
      <w:r w:rsidR="00881C9C" w:rsidRPr="003539AE">
        <w:rPr>
          <w:rFonts w:ascii="Tahoma" w:hAnsi="Tahoma" w:cs="Tahoma"/>
          <w:color w:val="auto"/>
        </w:rPr>
        <w:t xml:space="preserve"> millones</w:t>
      </w:r>
      <w:r w:rsidR="00BE515D">
        <w:rPr>
          <w:rFonts w:ascii="Tahoma" w:hAnsi="Tahoma" w:cs="Tahoma"/>
          <w:color w:val="auto"/>
        </w:rPr>
        <w:t>,</w:t>
      </w:r>
      <w:r w:rsidR="00815CEE" w:rsidRPr="003539AE">
        <w:rPr>
          <w:rFonts w:ascii="Tahoma" w:hAnsi="Tahoma" w:cs="Tahoma"/>
          <w:color w:val="auto"/>
        </w:rPr>
        <w:t xml:space="preserve"> </w:t>
      </w:r>
      <w:r w:rsidR="00BE515D">
        <w:rPr>
          <w:rFonts w:ascii="Tahoma" w:hAnsi="Tahoma" w:cs="Tahoma"/>
          <w:color w:val="auto"/>
        </w:rPr>
        <w:t xml:space="preserve">con </w:t>
      </w:r>
      <w:r w:rsidR="00815CEE" w:rsidRPr="003539AE">
        <w:rPr>
          <w:rFonts w:ascii="Tahoma" w:hAnsi="Tahoma" w:cs="Tahoma"/>
          <w:color w:val="auto"/>
        </w:rPr>
        <w:t xml:space="preserve">un </w:t>
      </w:r>
      <w:r w:rsidR="007430EF">
        <w:rPr>
          <w:rFonts w:ascii="Tahoma" w:hAnsi="Tahoma" w:cs="Tahoma"/>
          <w:color w:val="auto"/>
        </w:rPr>
        <w:t>5.69</w:t>
      </w:r>
      <w:r w:rsidR="003559D7" w:rsidRPr="003539AE">
        <w:rPr>
          <w:rFonts w:ascii="Tahoma" w:hAnsi="Tahoma" w:cs="Tahoma"/>
          <w:color w:val="auto"/>
        </w:rPr>
        <w:t>%,</w:t>
      </w:r>
      <w:r w:rsidR="00815CEE" w:rsidRPr="003539AE">
        <w:rPr>
          <w:rFonts w:ascii="Tahoma" w:hAnsi="Tahoma" w:cs="Tahoma"/>
          <w:color w:val="auto"/>
        </w:rPr>
        <w:t xml:space="preserve"> </w:t>
      </w:r>
      <w:r w:rsidR="005325B4" w:rsidRPr="003539AE">
        <w:rPr>
          <w:rFonts w:ascii="Tahoma" w:hAnsi="Tahoma" w:cs="Tahoma"/>
          <w:color w:val="auto"/>
        </w:rPr>
        <w:t xml:space="preserve"> Gastos Generales</w:t>
      </w:r>
      <w:r w:rsidR="00881C9C" w:rsidRPr="003539AE">
        <w:rPr>
          <w:rFonts w:ascii="Tahoma" w:hAnsi="Tahoma" w:cs="Tahoma"/>
          <w:color w:val="auto"/>
        </w:rPr>
        <w:t xml:space="preserve"> $</w:t>
      </w:r>
      <w:r w:rsidR="007430EF">
        <w:rPr>
          <w:rFonts w:ascii="Tahoma" w:hAnsi="Tahoma" w:cs="Tahoma"/>
          <w:color w:val="auto"/>
        </w:rPr>
        <w:t>498</w:t>
      </w:r>
      <w:r w:rsidR="00881C9C" w:rsidRPr="003539AE">
        <w:rPr>
          <w:rFonts w:ascii="Tahoma" w:hAnsi="Tahoma" w:cs="Tahoma"/>
          <w:color w:val="auto"/>
        </w:rPr>
        <w:t xml:space="preserve"> millones</w:t>
      </w:r>
      <w:r w:rsidR="00817D8E" w:rsidRPr="003539AE">
        <w:rPr>
          <w:rFonts w:ascii="Tahoma" w:hAnsi="Tahoma" w:cs="Tahoma"/>
          <w:color w:val="auto"/>
        </w:rPr>
        <w:t xml:space="preserve"> con un </w:t>
      </w:r>
      <w:r w:rsidR="003559D7" w:rsidRPr="003539AE">
        <w:rPr>
          <w:rFonts w:ascii="Tahoma" w:hAnsi="Tahoma" w:cs="Tahoma"/>
          <w:color w:val="auto"/>
        </w:rPr>
        <w:t>4</w:t>
      </w:r>
      <w:r w:rsidR="007430EF">
        <w:rPr>
          <w:rFonts w:ascii="Tahoma" w:hAnsi="Tahoma" w:cs="Tahoma"/>
          <w:color w:val="auto"/>
        </w:rPr>
        <w:t>.16%, Fondo de Contingencias $15</w:t>
      </w:r>
      <w:r w:rsidR="009F2029">
        <w:rPr>
          <w:rFonts w:ascii="Tahoma" w:hAnsi="Tahoma" w:cs="Tahoma"/>
          <w:color w:val="auto"/>
        </w:rPr>
        <w:t xml:space="preserve"> millones con un 0.13</w:t>
      </w:r>
      <w:r w:rsidR="0056750E">
        <w:rPr>
          <w:rFonts w:ascii="Tahoma" w:hAnsi="Tahoma" w:cs="Tahoma"/>
          <w:color w:val="auto"/>
        </w:rPr>
        <w:t>%.</w:t>
      </w:r>
    </w:p>
    <w:p w:rsidR="00595DA7" w:rsidRDefault="00595DA7" w:rsidP="0056750E">
      <w:pPr>
        <w:spacing w:before="0" w:after="0"/>
        <w:jc w:val="both"/>
        <w:rPr>
          <w:rFonts w:ascii="Tahoma" w:hAnsi="Tahoma" w:cs="Tahoma"/>
          <w:color w:val="auto"/>
        </w:rPr>
      </w:pPr>
      <w:r w:rsidRPr="003539AE">
        <w:rPr>
          <w:rFonts w:ascii="Tahoma" w:hAnsi="Tahoma" w:cs="Tahoma"/>
          <w:color w:val="auto"/>
        </w:rPr>
        <w:tab/>
      </w:r>
    </w:p>
    <w:p w:rsidR="00595DA7" w:rsidRDefault="00EF1F54" w:rsidP="001D6862">
      <w:pPr>
        <w:spacing w:before="0" w:after="0"/>
        <w:rPr>
          <w:rFonts w:ascii="Tahoma" w:hAnsi="Tahoma" w:cs="Tahoma"/>
          <w:b/>
          <w:szCs w:val="24"/>
        </w:rPr>
      </w:pPr>
      <w:r>
        <w:rPr>
          <w:rFonts w:ascii="Tahoma" w:hAnsi="Tahoma" w:cs="Tahoma"/>
          <w:noProof/>
          <w:color w:val="auto"/>
        </w:rPr>
        <w:drawing>
          <wp:inline distT="0" distB="0" distL="0" distR="0" wp14:anchorId="224A838F" wp14:editId="1FA5D3B3">
            <wp:extent cx="5486400" cy="2979420"/>
            <wp:effectExtent l="0" t="0" r="19050" b="11430"/>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0FB7" w:rsidRDefault="00AA0FB7" w:rsidP="00595DA7">
      <w:pPr>
        <w:spacing w:before="0" w:after="0"/>
        <w:jc w:val="both"/>
        <w:rPr>
          <w:rFonts w:ascii="Tahoma" w:hAnsi="Tahoma" w:cs="Tahoma"/>
          <w:color w:val="auto"/>
        </w:rPr>
      </w:pPr>
    </w:p>
    <w:p w:rsidR="00595DA7" w:rsidRDefault="00595DA7" w:rsidP="00595DA7">
      <w:pPr>
        <w:spacing w:before="0" w:after="0"/>
        <w:jc w:val="both"/>
        <w:rPr>
          <w:rFonts w:ascii="Tahoma" w:hAnsi="Tahoma" w:cs="Tahoma"/>
          <w:color w:val="auto"/>
        </w:rPr>
      </w:pPr>
      <w:r w:rsidRPr="00E255C8">
        <w:rPr>
          <w:rFonts w:ascii="Tahoma" w:hAnsi="Tahoma" w:cs="Tahoma"/>
          <w:b/>
          <w:color w:val="auto"/>
        </w:rPr>
        <w:lastRenderedPageBreak/>
        <w:t>Los Gastos de inversión</w:t>
      </w:r>
      <w:r w:rsidRPr="006309B9">
        <w:rPr>
          <w:rFonts w:ascii="Tahoma" w:hAnsi="Tahoma" w:cs="Tahoma"/>
          <w:color w:val="auto"/>
        </w:rPr>
        <w:t xml:space="preserve"> se </w:t>
      </w:r>
      <w:r w:rsidR="00AA0FB7" w:rsidRPr="006309B9">
        <w:rPr>
          <w:rFonts w:ascii="Tahoma" w:hAnsi="Tahoma" w:cs="Tahoma"/>
          <w:color w:val="auto"/>
        </w:rPr>
        <w:t>Clasificaron en</w:t>
      </w:r>
      <w:r>
        <w:rPr>
          <w:rFonts w:ascii="Tahoma" w:hAnsi="Tahoma" w:cs="Tahoma"/>
          <w:color w:val="auto"/>
        </w:rPr>
        <w:t>:</w:t>
      </w:r>
      <w:r w:rsidR="00AA0FB7">
        <w:rPr>
          <w:rFonts w:ascii="Tahoma" w:hAnsi="Tahoma" w:cs="Tahoma"/>
          <w:color w:val="auto"/>
        </w:rPr>
        <w:t xml:space="preserve"> </w:t>
      </w:r>
      <w:r w:rsidR="00690E68">
        <w:rPr>
          <w:rFonts w:ascii="Tahoma" w:hAnsi="Tahoma" w:cs="Tahoma"/>
          <w:color w:val="auto"/>
        </w:rPr>
        <w:t>Sector Salud 39.79</w:t>
      </w:r>
      <w:r w:rsidR="0084571C">
        <w:rPr>
          <w:rFonts w:ascii="Tahoma" w:hAnsi="Tahoma" w:cs="Tahoma"/>
          <w:color w:val="auto"/>
        </w:rPr>
        <w:t>%</w:t>
      </w:r>
      <w:r w:rsidR="00690E68">
        <w:rPr>
          <w:rFonts w:ascii="Tahoma" w:hAnsi="Tahoma" w:cs="Tahoma"/>
          <w:color w:val="auto"/>
        </w:rPr>
        <w:t>, Sector Justicia 0.51</w:t>
      </w:r>
      <w:r w:rsidR="0084571C">
        <w:rPr>
          <w:rFonts w:ascii="Tahoma" w:hAnsi="Tahoma" w:cs="Tahoma"/>
          <w:color w:val="auto"/>
        </w:rPr>
        <w:t>%</w:t>
      </w:r>
      <w:r w:rsidR="00690E68">
        <w:rPr>
          <w:rFonts w:ascii="Tahoma" w:hAnsi="Tahoma" w:cs="Tahoma"/>
          <w:color w:val="auto"/>
        </w:rPr>
        <w:t>, Sector Transporte 7.43%, Sector Educación 7.46%, Sector Medio Ambiente 1.45%, Sector Agropecuario 1.27%, Saneamiento Básico 9.4</w:t>
      </w:r>
      <w:r w:rsidR="0084571C">
        <w:rPr>
          <w:rFonts w:ascii="Tahoma" w:hAnsi="Tahoma" w:cs="Tahoma"/>
          <w:color w:val="auto"/>
        </w:rPr>
        <w:t xml:space="preserve">5%, </w:t>
      </w:r>
      <w:r w:rsidR="00690E68">
        <w:rPr>
          <w:rFonts w:ascii="Tahoma" w:hAnsi="Tahoma" w:cs="Tahoma"/>
          <w:color w:val="auto"/>
        </w:rPr>
        <w:t>Sector vivienda 6.19</w:t>
      </w:r>
      <w:r w:rsidR="000740A1">
        <w:rPr>
          <w:rFonts w:ascii="Tahoma" w:hAnsi="Tahoma" w:cs="Tahoma"/>
          <w:color w:val="auto"/>
        </w:rPr>
        <w:t>%, Sector comunitario 3.59</w:t>
      </w:r>
      <w:r w:rsidR="00726264">
        <w:rPr>
          <w:rFonts w:ascii="Tahoma" w:hAnsi="Tahoma" w:cs="Tahoma"/>
          <w:color w:val="auto"/>
        </w:rPr>
        <w:t>%, Sector Art</w:t>
      </w:r>
      <w:r w:rsidR="000740A1">
        <w:rPr>
          <w:rFonts w:ascii="Tahoma" w:hAnsi="Tahoma" w:cs="Tahoma"/>
          <w:color w:val="auto"/>
        </w:rPr>
        <w:t>e y cultura 2.05%, Sector Deporte 1.51% y otros Sectores 3.33</w:t>
      </w:r>
      <w:r w:rsidR="00726264">
        <w:rPr>
          <w:rFonts w:ascii="Tahoma" w:hAnsi="Tahoma" w:cs="Tahoma"/>
          <w:color w:val="auto"/>
        </w:rPr>
        <w:t xml:space="preserve">%,  los </w:t>
      </w:r>
      <w:r w:rsidR="00513557">
        <w:rPr>
          <w:rFonts w:ascii="Tahoma" w:hAnsi="Tahoma" w:cs="Tahoma"/>
          <w:color w:val="auto"/>
        </w:rPr>
        <w:t xml:space="preserve">sectores donde más hubo inversión fueron los siguientes: </w:t>
      </w:r>
    </w:p>
    <w:p w:rsidR="00BB226F" w:rsidRDefault="00BB226F" w:rsidP="00595DA7">
      <w:pPr>
        <w:spacing w:before="0" w:after="0"/>
        <w:jc w:val="both"/>
        <w:rPr>
          <w:rFonts w:ascii="Tahoma" w:hAnsi="Tahoma" w:cs="Tahoma"/>
          <w:color w:val="auto"/>
        </w:rPr>
      </w:pPr>
    </w:p>
    <w:p w:rsidR="000740A1" w:rsidRDefault="000740A1" w:rsidP="00595DA7">
      <w:pPr>
        <w:spacing w:before="0" w:after="0"/>
        <w:jc w:val="both"/>
        <w:rPr>
          <w:rFonts w:ascii="Tahoma" w:hAnsi="Tahoma" w:cs="Tahoma"/>
          <w:color w:val="auto"/>
        </w:rPr>
      </w:pPr>
      <w:r>
        <w:rPr>
          <w:rFonts w:ascii="Tahoma" w:hAnsi="Tahoma" w:cs="Tahoma"/>
          <w:noProof/>
          <w:color w:val="auto"/>
        </w:rPr>
        <w:drawing>
          <wp:inline distT="0" distB="0" distL="0" distR="0">
            <wp:extent cx="5878285" cy="3265714"/>
            <wp:effectExtent l="0" t="0" r="27305" b="1143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E2CF6" w:rsidRDefault="00595DA7" w:rsidP="00817D8E">
      <w:pPr>
        <w:tabs>
          <w:tab w:val="left" w:pos="4989"/>
          <w:tab w:val="left" w:pos="5901"/>
        </w:tabs>
        <w:spacing w:before="0" w:after="0"/>
        <w:jc w:val="both"/>
        <w:rPr>
          <w:rFonts w:ascii="Tahoma" w:hAnsi="Tahoma" w:cs="Tahoma"/>
          <w:b/>
          <w:szCs w:val="24"/>
        </w:rPr>
      </w:pPr>
      <w:r>
        <w:rPr>
          <w:rFonts w:ascii="Tahoma" w:hAnsi="Tahoma" w:cs="Tahoma"/>
          <w:color w:val="auto"/>
        </w:rPr>
        <w:tab/>
      </w:r>
    </w:p>
    <w:p w:rsidR="00AC4815" w:rsidRDefault="00AC4815" w:rsidP="000C2D28">
      <w:pPr>
        <w:tabs>
          <w:tab w:val="left" w:pos="1000"/>
        </w:tabs>
        <w:spacing w:before="0" w:after="0"/>
        <w:jc w:val="both"/>
        <w:rPr>
          <w:rFonts w:ascii="Tahoma" w:hAnsi="Tahoma" w:cs="Tahoma"/>
          <w:b/>
          <w:szCs w:val="24"/>
        </w:rPr>
      </w:pPr>
      <w:r w:rsidRPr="00AC4815">
        <w:rPr>
          <w:rFonts w:ascii="Tahoma" w:hAnsi="Tahoma" w:cs="Tahoma"/>
          <w:color w:val="auto"/>
        </w:rPr>
        <w:t xml:space="preserve">De la ejecución presupuestal,  se pudo observar que la mayor inversión se destinó al sector Salud, con un </w:t>
      </w:r>
      <w:r w:rsidR="00AD5C4D">
        <w:rPr>
          <w:rFonts w:ascii="Tahoma" w:hAnsi="Tahoma" w:cs="Tahoma"/>
          <w:color w:val="auto"/>
        </w:rPr>
        <w:t>39.79</w:t>
      </w:r>
      <w:r w:rsidRPr="00AC4815">
        <w:rPr>
          <w:rFonts w:ascii="Tahoma" w:hAnsi="Tahoma" w:cs="Tahoma"/>
          <w:color w:val="auto"/>
        </w:rPr>
        <w:t>% equivalentes a $</w:t>
      </w:r>
      <w:r w:rsidR="0000440B">
        <w:rPr>
          <w:rFonts w:ascii="Tahoma" w:hAnsi="Tahoma" w:cs="Tahoma"/>
          <w:color w:val="auto"/>
        </w:rPr>
        <w:t>4.766</w:t>
      </w:r>
      <w:r w:rsidR="00881C9C">
        <w:rPr>
          <w:rFonts w:ascii="Tahoma" w:eastAsia="Times New Roman" w:hAnsi="Tahoma" w:cs="Tahoma"/>
          <w:color w:val="auto"/>
        </w:rPr>
        <w:t xml:space="preserve"> millones</w:t>
      </w:r>
      <w:r w:rsidRPr="00AC4815">
        <w:rPr>
          <w:rFonts w:ascii="Tahoma" w:eastAsia="Times New Roman" w:hAnsi="Tahoma" w:cs="Tahoma"/>
          <w:color w:val="auto"/>
        </w:rPr>
        <w:t>, seguidos de</w:t>
      </w:r>
      <w:r w:rsidR="0000440B">
        <w:rPr>
          <w:rFonts w:ascii="Tahoma" w:eastAsia="Times New Roman" w:hAnsi="Tahoma" w:cs="Tahoma"/>
          <w:color w:val="auto"/>
        </w:rPr>
        <w:t xml:space="preserve"> </w:t>
      </w:r>
      <w:r w:rsidR="0000440B" w:rsidRPr="00AC4815">
        <w:rPr>
          <w:rFonts w:ascii="Tahoma" w:eastAsia="Times New Roman" w:hAnsi="Tahoma" w:cs="Tahoma"/>
          <w:color w:val="auto"/>
        </w:rPr>
        <w:t xml:space="preserve">Saneamiento Básico con un </w:t>
      </w:r>
      <w:r w:rsidR="0000440B">
        <w:rPr>
          <w:rFonts w:ascii="Tahoma" w:eastAsia="Times New Roman" w:hAnsi="Tahoma" w:cs="Tahoma"/>
          <w:color w:val="auto"/>
        </w:rPr>
        <w:t>9.45%, equivalentes a $ 1.131 millones,</w:t>
      </w:r>
      <w:r w:rsidR="00817D8E">
        <w:rPr>
          <w:rFonts w:ascii="Tahoma" w:eastAsia="Times New Roman" w:hAnsi="Tahoma" w:cs="Tahoma"/>
          <w:color w:val="auto"/>
        </w:rPr>
        <w:t xml:space="preserve"> S</w:t>
      </w:r>
      <w:r w:rsidRPr="00AC4815">
        <w:rPr>
          <w:rFonts w:ascii="Tahoma" w:eastAsia="Times New Roman" w:hAnsi="Tahoma" w:cs="Tahoma"/>
          <w:color w:val="auto"/>
        </w:rPr>
        <w:t xml:space="preserve">ector Educación con un </w:t>
      </w:r>
      <w:r w:rsidR="00AD5C4D">
        <w:rPr>
          <w:rFonts w:ascii="Tahoma" w:eastAsia="Times New Roman" w:hAnsi="Tahoma" w:cs="Tahoma"/>
          <w:color w:val="auto"/>
        </w:rPr>
        <w:t>7.46</w:t>
      </w:r>
      <w:r w:rsidRPr="00AC4815">
        <w:rPr>
          <w:rFonts w:ascii="Tahoma" w:eastAsia="Times New Roman" w:hAnsi="Tahoma" w:cs="Tahoma"/>
          <w:color w:val="auto"/>
        </w:rPr>
        <w:t>%, equivalentes a $</w:t>
      </w:r>
      <w:r w:rsidR="00881C9C">
        <w:rPr>
          <w:rFonts w:ascii="Tahoma" w:eastAsia="Times New Roman" w:hAnsi="Tahoma" w:cs="Tahoma"/>
          <w:color w:val="auto"/>
        </w:rPr>
        <w:t xml:space="preserve"> </w:t>
      </w:r>
      <w:r w:rsidR="0000440B">
        <w:rPr>
          <w:rFonts w:ascii="Tahoma" w:eastAsia="Times New Roman" w:hAnsi="Tahoma" w:cs="Tahoma"/>
          <w:color w:val="auto"/>
        </w:rPr>
        <w:t xml:space="preserve">893 </w:t>
      </w:r>
      <w:r w:rsidR="00881C9C">
        <w:rPr>
          <w:rFonts w:ascii="Tahoma" w:eastAsia="Times New Roman" w:hAnsi="Tahoma" w:cs="Tahoma"/>
          <w:color w:val="auto"/>
        </w:rPr>
        <w:t>millones,</w:t>
      </w:r>
      <w:r w:rsidRPr="00AC4815">
        <w:rPr>
          <w:rFonts w:ascii="Tahoma" w:eastAsia="Times New Roman" w:hAnsi="Tahoma" w:cs="Tahoma"/>
          <w:color w:val="auto"/>
        </w:rPr>
        <w:t xml:space="preserve"> </w:t>
      </w:r>
      <w:r w:rsidR="0000440B">
        <w:rPr>
          <w:rFonts w:ascii="Tahoma" w:eastAsia="Times New Roman" w:hAnsi="Tahoma" w:cs="Tahoma"/>
          <w:color w:val="auto"/>
        </w:rPr>
        <w:t>sector vivienda</w:t>
      </w:r>
      <w:r w:rsidR="00AA1AA1">
        <w:rPr>
          <w:rFonts w:ascii="Tahoma" w:eastAsia="Times New Roman" w:hAnsi="Tahoma" w:cs="Tahoma"/>
          <w:color w:val="auto"/>
        </w:rPr>
        <w:t xml:space="preserve"> </w:t>
      </w:r>
      <w:r w:rsidR="009A67EB">
        <w:rPr>
          <w:rFonts w:ascii="Tahoma" w:eastAsia="Times New Roman" w:hAnsi="Tahoma" w:cs="Tahoma"/>
          <w:color w:val="auto"/>
        </w:rPr>
        <w:t xml:space="preserve">con </w:t>
      </w:r>
      <w:r w:rsidR="00AA1AA1">
        <w:rPr>
          <w:rFonts w:ascii="Tahoma" w:eastAsia="Times New Roman" w:hAnsi="Tahoma" w:cs="Tahoma"/>
          <w:color w:val="auto"/>
        </w:rPr>
        <w:t>el 6.19%, equivalentes a  $742 millones</w:t>
      </w:r>
      <w:r w:rsidR="0000440B">
        <w:rPr>
          <w:rFonts w:ascii="Tahoma" w:eastAsia="Times New Roman" w:hAnsi="Tahoma" w:cs="Tahoma"/>
          <w:color w:val="auto"/>
        </w:rPr>
        <w:t xml:space="preserve">  </w:t>
      </w:r>
      <w:r w:rsidR="00AD5C4D">
        <w:rPr>
          <w:rFonts w:ascii="Tahoma" w:eastAsia="Times New Roman" w:hAnsi="Tahoma" w:cs="Tahoma"/>
          <w:color w:val="auto"/>
        </w:rPr>
        <w:t>y sector transporte con un 7.43</w:t>
      </w:r>
      <w:r w:rsidR="00B62473">
        <w:rPr>
          <w:rFonts w:ascii="Tahoma" w:eastAsia="Times New Roman" w:hAnsi="Tahoma" w:cs="Tahoma"/>
          <w:color w:val="auto"/>
        </w:rPr>
        <w:t>%</w:t>
      </w:r>
      <w:r w:rsidR="00876444">
        <w:rPr>
          <w:rFonts w:ascii="Tahoma" w:eastAsia="Times New Roman" w:hAnsi="Tahoma" w:cs="Tahoma"/>
          <w:color w:val="auto"/>
        </w:rPr>
        <w:t xml:space="preserve"> equivalente a</w:t>
      </w:r>
      <w:r w:rsidR="00AA1AA1">
        <w:rPr>
          <w:rFonts w:ascii="Tahoma" w:eastAsia="Times New Roman" w:hAnsi="Tahoma" w:cs="Tahoma"/>
          <w:color w:val="auto"/>
        </w:rPr>
        <w:t xml:space="preserve"> </w:t>
      </w:r>
      <w:r w:rsidR="0000440B">
        <w:rPr>
          <w:rFonts w:ascii="Tahoma" w:eastAsia="Times New Roman" w:hAnsi="Tahoma" w:cs="Tahoma"/>
          <w:color w:val="auto"/>
        </w:rPr>
        <w:t>$ 890 millones</w:t>
      </w:r>
      <w:r w:rsidR="00B62473">
        <w:rPr>
          <w:rFonts w:ascii="Tahoma" w:eastAsia="Times New Roman" w:hAnsi="Tahoma" w:cs="Tahoma"/>
          <w:color w:val="auto"/>
        </w:rPr>
        <w:t xml:space="preserve">. </w:t>
      </w:r>
      <w:r w:rsidR="000F5879">
        <w:rPr>
          <w:rFonts w:ascii="Tahoma" w:hAnsi="Tahoma" w:cs="Tahoma"/>
          <w:b/>
          <w:szCs w:val="24"/>
        </w:rPr>
        <w:t xml:space="preserve"> </w:t>
      </w:r>
    </w:p>
    <w:p w:rsidR="00231ECA" w:rsidRDefault="00231ECA" w:rsidP="001D6862">
      <w:pPr>
        <w:spacing w:before="0" w:after="0"/>
        <w:rPr>
          <w:rFonts w:ascii="Tahoma" w:hAnsi="Tahoma" w:cs="Tahoma"/>
          <w:b/>
          <w:szCs w:val="24"/>
        </w:rPr>
      </w:pPr>
    </w:p>
    <w:p w:rsidR="00682367" w:rsidRPr="00B761E4" w:rsidRDefault="00B761E4" w:rsidP="001D6862">
      <w:pPr>
        <w:spacing w:before="0" w:after="0"/>
        <w:rPr>
          <w:rFonts w:ascii="Tahoma" w:hAnsi="Tahoma" w:cs="Tahoma"/>
          <w:b/>
          <w:szCs w:val="24"/>
        </w:rPr>
      </w:pPr>
      <w:r w:rsidRPr="00B761E4">
        <w:rPr>
          <w:rFonts w:ascii="Tahoma" w:hAnsi="Tahoma" w:cs="Tahoma"/>
          <w:b/>
          <w:szCs w:val="24"/>
        </w:rPr>
        <w:t>MODIFICACIONES AL PRESUPUESTO DE GASTOS</w:t>
      </w:r>
      <w:r w:rsidR="00577624">
        <w:rPr>
          <w:rFonts w:ascii="Tahoma" w:hAnsi="Tahoma" w:cs="Tahoma"/>
          <w:b/>
          <w:szCs w:val="24"/>
        </w:rPr>
        <w:t xml:space="preserve"> - ADICIONES</w:t>
      </w:r>
    </w:p>
    <w:p w:rsidR="00682367" w:rsidRDefault="00B761E4" w:rsidP="00B761E4">
      <w:pPr>
        <w:tabs>
          <w:tab w:val="left" w:pos="5696"/>
        </w:tabs>
        <w:spacing w:before="0" w:after="0"/>
        <w:jc w:val="both"/>
        <w:rPr>
          <w:rFonts w:ascii="Tahoma" w:hAnsi="Tahoma" w:cs="Tahoma"/>
          <w:szCs w:val="24"/>
        </w:rPr>
      </w:pPr>
      <w:r>
        <w:rPr>
          <w:rFonts w:ascii="Tahoma" w:hAnsi="Tahoma" w:cs="Tahoma"/>
          <w:szCs w:val="24"/>
        </w:rPr>
        <w:tab/>
      </w:r>
    </w:p>
    <w:p w:rsidR="00264A57" w:rsidRDefault="00B761E4" w:rsidP="00595DA7">
      <w:pPr>
        <w:tabs>
          <w:tab w:val="left" w:pos="5696"/>
        </w:tabs>
        <w:spacing w:before="0" w:after="0"/>
        <w:jc w:val="both"/>
        <w:rPr>
          <w:rFonts w:ascii="Tahoma" w:hAnsi="Tahoma" w:cs="Tahoma"/>
          <w:szCs w:val="24"/>
        </w:rPr>
      </w:pPr>
      <w:r>
        <w:rPr>
          <w:rFonts w:ascii="Tahoma" w:hAnsi="Tahoma" w:cs="Tahoma"/>
          <w:szCs w:val="24"/>
        </w:rPr>
        <w:t xml:space="preserve">El presupuesto de gastos del Municipio </w:t>
      </w:r>
      <w:r w:rsidR="0000440B">
        <w:rPr>
          <w:rFonts w:ascii="Tahoma" w:hAnsi="Tahoma" w:cs="Tahoma"/>
          <w:szCs w:val="24"/>
        </w:rPr>
        <w:t xml:space="preserve">Anzoátegui </w:t>
      </w:r>
      <w:r>
        <w:rPr>
          <w:rFonts w:ascii="Tahoma" w:hAnsi="Tahoma" w:cs="Tahoma"/>
          <w:szCs w:val="24"/>
        </w:rPr>
        <w:t xml:space="preserve">de </w:t>
      </w:r>
      <w:r w:rsidR="00595DA7">
        <w:rPr>
          <w:rFonts w:ascii="Tahoma" w:hAnsi="Tahoma" w:cs="Tahoma"/>
          <w:szCs w:val="24"/>
        </w:rPr>
        <w:t>la vigencia 2015, presentó Adiciones pres</w:t>
      </w:r>
      <w:r w:rsidR="00264A57">
        <w:rPr>
          <w:rFonts w:ascii="Tahoma" w:hAnsi="Tahoma" w:cs="Tahoma"/>
          <w:szCs w:val="24"/>
        </w:rPr>
        <w:t xml:space="preserve">upuestales en la suma de $ </w:t>
      </w:r>
      <w:r w:rsidR="007A35B9">
        <w:rPr>
          <w:rFonts w:ascii="Tahoma" w:hAnsi="Tahoma" w:cs="Tahoma"/>
          <w:szCs w:val="24"/>
        </w:rPr>
        <w:t>9.1</w:t>
      </w:r>
      <w:r w:rsidR="00F80927">
        <w:rPr>
          <w:rFonts w:ascii="Tahoma" w:hAnsi="Tahoma" w:cs="Tahoma"/>
          <w:szCs w:val="24"/>
        </w:rPr>
        <w:t>20</w:t>
      </w:r>
      <w:r w:rsidR="0000440B">
        <w:rPr>
          <w:rFonts w:ascii="Tahoma" w:hAnsi="Tahoma" w:cs="Tahoma"/>
          <w:szCs w:val="24"/>
        </w:rPr>
        <w:t xml:space="preserve"> </w:t>
      </w:r>
      <w:r w:rsidR="00264A57">
        <w:rPr>
          <w:rFonts w:ascii="Tahoma" w:hAnsi="Tahoma" w:cs="Tahoma"/>
          <w:szCs w:val="24"/>
        </w:rPr>
        <w:t>millones</w:t>
      </w:r>
      <w:r w:rsidR="00595DA7">
        <w:rPr>
          <w:rFonts w:ascii="Tahoma" w:hAnsi="Tahoma" w:cs="Tahoma"/>
          <w:szCs w:val="24"/>
        </w:rPr>
        <w:t xml:space="preserve"> y reducciones en la suma de $</w:t>
      </w:r>
      <w:r w:rsidR="0000440B">
        <w:rPr>
          <w:rFonts w:ascii="Tahoma" w:hAnsi="Tahoma" w:cs="Tahoma"/>
          <w:szCs w:val="24"/>
        </w:rPr>
        <w:t>731</w:t>
      </w:r>
      <w:r w:rsidR="00264A57">
        <w:rPr>
          <w:rFonts w:ascii="Tahoma" w:hAnsi="Tahoma" w:cs="Tahoma"/>
          <w:szCs w:val="24"/>
        </w:rPr>
        <w:t xml:space="preserve"> millones</w:t>
      </w:r>
      <w:r w:rsidR="00E10692">
        <w:rPr>
          <w:rFonts w:ascii="Tahoma" w:hAnsi="Tahoma" w:cs="Tahoma"/>
          <w:szCs w:val="24"/>
        </w:rPr>
        <w:t xml:space="preserve"> y </w:t>
      </w:r>
      <w:r w:rsidR="00595DA7">
        <w:rPr>
          <w:rFonts w:ascii="Tahoma" w:hAnsi="Tahoma" w:cs="Tahoma"/>
          <w:szCs w:val="24"/>
        </w:rPr>
        <w:t>traslados presupuestales en la suma de $</w:t>
      </w:r>
      <w:r w:rsidR="0000440B">
        <w:rPr>
          <w:rFonts w:ascii="Tahoma" w:hAnsi="Tahoma" w:cs="Tahoma"/>
          <w:szCs w:val="24"/>
        </w:rPr>
        <w:t>4.930</w:t>
      </w:r>
      <w:r w:rsidR="00264A57">
        <w:rPr>
          <w:rFonts w:ascii="Tahoma" w:hAnsi="Tahoma" w:cs="Tahoma"/>
          <w:szCs w:val="24"/>
        </w:rPr>
        <w:t xml:space="preserve"> millones</w:t>
      </w:r>
      <w:r w:rsidR="00595DA7">
        <w:rPr>
          <w:rFonts w:ascii="Tahoma" w:hAnsi="Tahoma" w:cs="Tahoma"/>
          <w:szCs w:val="24"/>
        </w:rPr>
        <w:t>, para un presupuesto d</w:t>
      </w:r>
      <w:r w:rsidR="00815CEE">
        <w:rPr>
          <w:rFonts w:ascii="Tahoma" w:hAnsi="Tahoma" w:cs="Tahoma"/>
          <w:szCs w:val="24"/>
        </w:rPr>
        <w:t>efinitivo de $</w:t>
      </w:r>
      <w:r w:rsidR="007A35B9">
        <w:rPr>
          <w:rFonts w:ascii="Tahoma" w:hAnsi="Tahoma" w:cs="Tahoma"/>
          <w:szCs w:val="24"/>
        </w:rPr>
        <w:t>20.36</w:t>
      </w:r>
      <w:r w:rsidR="0093138C">
        <w:rPr>
          <w:rFonts w:ascii="Tahoma" w:hAnsi="Tahoma" w:cs="Tahoma"/>
          <w:szCs w:val="24"/>
        </w:rPr>
        <w:t>8</w:t>
      </w:r>
      <w:r w:rsidR="00264A57">
        <w:rPr>
          <w:rFonts w:ascii="Tahoma" w:hAnsi="Tahoma" w:cs="Tahoma"/>
          <w:szCs w:val="24"/>
        </w:rPr>
        <w:t xml:space="preserve"> millones.</w:t>
      </w:r>
    </w:p>
    <w:p w:rsidR="00264A57" w:rsidRDefault="00264A57" w:rsidP="00595DA7">
      <w:pPr>
        <w:tabs>
          <w:tab w:val="left" w:pos="5696"/>
        </w:tabs>
        <w:spacing w:before="0" w:after="0"/>
        <w:jc w:val="both"/>
        <w:rPr>
          <w:rFonts w:ascii="Tahoma" w:hAnsi="Tahoma" w:cs="Tahoma"/>
          <w:szCs w:val="24"/>
        </w:rPr>
      </w:pPr>
    </w:p>
    <w:p w:rsidR="00E324E3" w:rsidRPr="00E324E3" w:rsidRDefault="00E324E3" w:rsidP="00595DA7">
      <w:pPr>
        <w:tabs>
          <w:tab w:val="left" w:pos="5696"/>
        </w:tabs>
        <w:spacing w:before="0" w:after="0"/>
        <w:jc w:val="both"/>
        <w:rPr>
          <w:rFonts w:ascii="Tahoma" w:hAnsi="Tahoma" w:cs="Tahoma"/>
          <w:b/>
          <w:szCs w:val="24"/>
        </w:rPr>
      </w:pPr>
      <w:r w:rsidRPr="00E324E3">
        <w:rPr>
          <w:rFonts w:ascii="Tahoma" w:hAnsi="Tahoma" w:cs="Tahoma"/>
          <w:b/>
          <w:szCs w:val="24"/>
        </w:rPr>
        <w:t>MODIFICACIONES GASTOS DE FUNCIONAMIENTO</w:t>
      </w:r>
      <w:r w:rsidR="0093138C">
        <w:rPr>
          <w:rFonts w:ascii="Tahoma" w:hAnsi="Tahoma" w:cs="Tahoma"/>
          <w:b/>
          <w:szCs w:val="24"/>
        </w:rPr>
        <w:t xml:space="preserve"> E INVERSION</w:t>
      </w:r>
    </w:p>
    <w:p w:rsidR="00E324E3" w:rsidRDefault="00E324E3" w:rsidP="00595DA7">
      <w:pPr>
        <w:tabs>
          <w:tab w:val="left" w:pos="5696"/>
        </w:tabs>
        <w:spacing w:before="0" w:after="0"/>
        <w:jc w:val="both"/>
        <w:rPr>
          <w:rFonts w:ascii="Tahoma" w:hAnsi="Tahoma" w:cs="Tahoma"/>
          <w:szCs w:val="24"/>
        </w:rPr>
      </w:pPr>
    </w:p>
    <w:p w:rsidR="00E324E3" w:rsidRDefault="00E324E3" w:rsidP="00E324E3">
      <w:pPr>
        <w:tabs>
          <w:tab w:val="left" w:pos="5696"/>
        </w:tabs>
        <w:spacing w:before="0" w:after="0"/>
        <w:jc w:val="both"/>
        <w:rPr>
          <w:rFonts w:ascii="Tahoma" w:hAnsi="Tahoma" w:cs="Tahoma"/>
          <w:szCs w:val="24"/>
        </w:rPr>
      </w:pPr>
      <w:r>
        <w:rPr>
          <w:rFonts w:ascii="Tahoma" w:hAnsi="Tahoma" w:cs="Tahoma"/>
          <w:szCs w:val="24"/>
        </w:rPr>
        <w:lastRenderedPageBreak/>
        <w:t xml:space="preserve">Los Gastos de funcionamiento se incrementaron en un </w:t>
      </w:r>
      <w:r w:rsidR="00A258F0">
        <w:rPr>
          <w:rFonts w:ascii="Tahoma" w:hAnsi="Tahoma" w:cs="Tahoma"/>
          <w:szCs w:val="24"/>
        </w:rPr>
        <w:t>34.2</w:t>
      </w:r>
      <w:r w:rsidR="00761E5D">
        <w:rPr>
          <w:rFonts w:ascii="Tahoma" w:hAnsi="Tahoma" w:cs="Tahoma"/>
          <w:szCs w:val="24"/>
        </w:rPr>
        <w:t>3</w:t>
      </w:r>
      <w:r>
        <w:rPr>
          <w:rFonts w:ascii="Tahoma" w:hAnsi="Tahoma" w:cs="Tahoma"/>
          <w:szCs w:val="24"/>
        </w:rPr>
        <w:t>%, es decir la suma de $</w:t>
      </w:r>
      <w:r w:rsidR="00A258F0">
        <w:rPr>
          <w:rFonts w:ascii="Tahoma" w:hAnsi="Tahoma" w:cs="Tahoma"/>
          <w:szCs w:val="24"/>
        </w:rPr>
        <w:t>591</w:t>
      </w:r>
      <w:r w:rsidR="00264A57">
        <w:rPr>
          <w:rFonts w:ascii="Tahoma" w:hAnsi="Tahoma" w:cs="Tahoma"/>
          <w:szCs w:val="24"/>
        </w:rPr>
        <w:t xml:space="preserve"> millones</w:t>
      </w:r>
      <w:r>
        <w:rPr>
          <w:rFonts w:ascii="Tahoma" w:hAnsi="Tahoma" w:cs="Tahoma"/>
          <w:szCs w:val="24"/>
        </w:rPr>
        <w:t xml:space="preserve"> y los gastos de Inversión en un </w:t>
      </w:r>
      <w:r w:rsidR="00A258F0">
        <w:rPr>
          <w:rFonts w:ascii="Tahoma" w:hAnsi="Tahoma" w:cs="Tahoma"/>
          <w:szCs w:val="24"/>
        </w:rPr>
        <w:t>83.</w:t>
      </w:r>
      <w:r w:rsidR="007731C6">
        <w:rPr>
          <w:rFonts w:ascii="Tahoma" w:hAnsi="Tahoma" w:cs="Tahoma"/>
          <w:szCs w:val="24"/>
        </w:rPr>
        <w:t>20</w:t>
      </w:r>
      <w:r>
        <w:rPr>
          <w:rFonts w:ascii="Tahoma" w:hAnsi="Tahoma" w:cs="Tahoma"/>
          <w:szCs w:val="24"/>
        </w:rPr>
        <w:t>%, equivalentes a $</w:t>
      </w:r>
      <w:r w:rsidR="00A258F0">
        <w:rPr>
          <w:rFonts w:ascii="Tahoma" w:hAnsi="Tahoma" w:cs="Tahoma"/>
          <w:szCs w:val="24"/>
        </w:rPr>
        <w:t>8.52</w:t>
      </w:r>
      <w:r w:rsidR="007731C6">
        <w:rPr>
          <w:rFonts w:ascii="Tahoma" w:hAnsi="Tahoma" w:cs="Tahoma"/>
          <w:szCs w:val="24"/>
        </w:rPr>
        <w:t>8</w:t>
      </w:r>
      <w:r w:rsidR="00264A57">
        <w:rPr>
          <w:rFonts w:ascii="Tahoma" w:hAnsi="Tahoma" w:cs="Tahoma"/>
          <w:szCs w:val="24"/>
        </w:rPr>
        <w:t xml:space="preserve"> millones</w:t>
      </w:r>
      <w:r>
        <w:rPr>
          <w:rFonts w:ascii="Tahoma" w:hAnsi="Tahoma" w:cs="Tahoma"/>
          <w:szCs w:val="24"/>
        </w:rPr>
        <w:t xml:space="preserve"> </w:t>
      </w:r>
      <w:r w:rsidR="00264A57">
        <w:rPr>
          <w:rFonts w:ascii="Tahoma" w:hAnsi="Tahoma" w:cs="Tahoma"/>
          <w:szCs w:val="24"/>
        </w:rPr>
        <w:t>con</w:t>
      </w:r>
      <w:r>
        <w:rPr>
          <w:rFonts w:ascii="Tahoma" w:hAnsi="Tahoma" w:cs="Tahoma"/>
          <w:szCs w:val="24"/>
        </w:rPr>
        <w:t xml:space="preserve"> relación al presupuesto inicial.</w:t>
      </w:r>
    </w:p>
    <w:p w:rsidR="00E324E3" w:rsidRDefault="00E324E3" w:rsidP="00595DA7">
      <w:pPr>
        <w:tabs>
          <w:tab w:val="left" w:pos="5696"/>
        </w:tabs>
        <w:spacing w:before="0" w:after="0"/>
        <w:jc w:val="both"/>
        <w:rPr>
          <w:rFonts w:ascii="Tahoma" w:hAnsi="Tahoma" w:cs="Tahoma"/>
          <w:szCs w:val="24"/>
        </w:rPr>
      </w:pPr>
    </w:p>
    <w:p w:rsidR="00A258F0" w:rsidRDefault="00D44B0C" w:rsidP="00282AFE">
      <w:pPr>
        <w:tabs>
          <w:tab w:val="left" w:pos="5696"/>
        </w:tabs>
        <w:spacing w:before="0" w:after="0"/>
        <w:rPr>
          <w:rFonts w:ascii="Tahoma" w:hAnsi="Tahoma" w:cs="Tahoma"/>
          <w:szCs w:val="24"/>
        </w:rPr>
      </w:pPr>
      <w:r w:rsidRPr="00D44B0C">
        <w:rPr>
          <w:noProof/>
        </w:rPr>
        <w:drawing>
          <wp:inline distT="0" distB="0" distL="0" distR="0" wp14:anchorId="6238073C" wp14:editId="1A7A6470">
            <wp:extent cx="5612130" cy="1727835"/>
            <wp:effectExtent l="0" t="0" r="7620" b="571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12130" cy="1727835"/>
                    </a:xfrm>
                    <a:prstGeom prst="rect">
                      <a:avLst/>
                    </a:prstGeom>
                  </pic:spPr>
                </pic:pic>
              </a:graphicData>
            </a:graphic>
          </wp:inline>
        </w:drawing>
      </w:r>
    </w:p>
    <w:p w:rsidR="008C2EA2" w:rsidRDefault="008C2EA2" w:rsidP="00595DA7">
      <w:pPr>
        <w:tabs>
          <w:tab w:val="left" w:pos="5696"/>
        </w:tabs>
        <w:spacing w:before="0" w:after="0"/>
        <w:jc w:val="both"/>
        <w:rPr>
          <w:rFonts w:ascii="Tahoma" w:hAnsi="Tahoma" w:cs="Tahoma"/>
          <w:szCs w:val="24"/>
        </w:rPr>
      </w:pPr>
    </w:p>
    <w:p w:rsidR="00577624" w:rsidRPr="00577624" w:rsidRDefault="00577624" w:rsidP="001D6862">
      <w:pPr>
        <w:spacing w:before="0" w:after="0"/>
        <w:jc w:val="both"/>
        <w:rPr>
          <w:rFonts w:ascii="Tahoma" w:hAnsi="Tahoma" w:cs="Tahoma"/>
          <w:b/>
          <w:color w:val="auto"/>
          <w:szCs w:val="16"/>
        </w:rPr>
      </w:pPr>
      <w:r w:rsidRPr="00577624">
        <w:rPr>
          <w:rFonts w:ascii="Tahoma" w:hAnsi="Tahoma" w:cs="Tahoma"/>
          <w:b/>
          <w:color w:val="auto"/>
          <w:szCs w:val="16"/>
        </w:rPr>
        <w:t>MODIFICACIONES GASTOS DE INVERSION</w:t>
      </w:r>
    </w:p>
    <w:p w:rsidR="00577624" w:rsidRDefault="00577624" w:rsidP="001D6862">
      <w:pPr>
        <w:spacing w:before="0" w:after="0"/>
        <w:jc w:val="both"/>
        <w:rPr>
          <w:rFonts w:ascii="Tahoma" w:hAnsi="Tahoma" w:cs="Tahoma"/>
          <w:color w:val="auto"/>
          <w:szCs w:val="16"/>
        </w:rPr>
      </w:pPr>
    </w:p>
    <w:p w:rsidR="004F38FE" w:rsidRDefault="00865411" w:rsidP="001D6862">
      <w:pPr>
        <w:spacing w:before="0" w:after="0"/>
        <w:jc w:val="both"/>
        <w:rPr>
          <w:rFonts w:ascii="Tahoma" w:hAnsi="Tahoma" w:cs="Tahoma"/>
          <w:color w:val="auto"/>
          <w:szCs w:val="16"/>
        </w:rPr>
      </w:pPr>
      <w:r>
        <w:rPr>
          <w:rFonts w:ascii="Tahoma" w:hAnsi="Tahoma" w:cs="Tahoma"/>
          <w:color w:val="auto"/>
          <w:szCs w:val="16"/>
        </w:rPr>
        <w:t>Los Gastos de inversi</w:t>
      </w:r>
      <w:r w:rsidR="003B6AFE">
        <w:rPr>
          <w:rFonts w:ascii="Tahoma" w:hAnsi="Tahoma" w:cs="Tahoma"/>
          <w:color w:val="auto"/>
          <w:szCs w:val="16"/>
        </w:rPr>
        <w:t xml:space="preserve">ón </w:t>
      </w:r>
      <w:r>
        <w:rPr>
          <w:rFonts w:ascii="Tahoma" w:hAnsi="Tahoma" w:cs="Tahoma"/>
          <w:color w:val="auto"/>
          <w:szCs w:val="16"/>
        </w:rPr>
        <w:t>que</w:t>
      </w:r>
      <w:r w:rsidR="00BA3E16">
        <w:rPr>
          <w:rFonts w:ascii="Tahoma" w:hAnsi="Tahoma" w:cs="Tahoma"/>
          <w:color w:val="auto"/>
          <w:szCs w:val="16"/>
        </w:rPr>
        <w:t xml:space="preserve"> presentaron</w:t>
      </w:r>
      <w:r>
        <w:rPr>
          <w:rFonts w:ascii="Tahoma" w:hAnsi="Tahoma" w:cs="Tahoma"/>
          <w:color w:val="auto"/>
          <w:szCs w:val="16"/>
        </w:rPr>
        <w:t xml:space="preserve"> </w:t>
      </w:r>
      <w:r w:rsidR="00BA3E16">
        <w:rPr>
          <w:rFonts w:ascii="Tahoma" w:hAnsi="Tahoma" w:cs="Tahoma"/>
          <w:color w:val="auto"/>
          <w:szCs w:val="16"/>
        </w:rPr>
        <w:t>más</w:t>
      </w:r>
      <w:r w:rsidR="003B6AFE">
        <w:rPr>
          <w:rFonts w:ascii="Tahoma" w:hAnsi="Tahoma" w:cs="Tahoma"/>
          <w:color w:val="auto"/>
          <w:szCs w:val="16"/>
        </w:rPr>
        <w:t xml:space="preserve"> </w:t>
      </w:r>
      <w:r w:rsidR="00BA3E16">
        <w:rPr>
          <w:rFonts w:ascii="Tahoma" w:hAnsi="Tahoma" w:cs="Tahoma"/>
          <w:color w:val="auto"/>
          <w:szCs w:val="16"/>
        </w:rPr>
        <w:t>modificaciones</w:t>
      </w:r>
      <w:r w:rsidR="00770887">
        <w:rPr>
          <w:rFonts w:ascii="Tahoma" w:hAnsi="Tahoma" w:cs="Tahoma"/>
          <w:color w:val="auto"/>
          <w:szCs w:val="16"/>
        </w:rPr>
        <w:t xml:space="preserve"> (Adiciones)</w:t>
      </w:r>
      <w:r w:rsidR="00BA3E16">
        <w:rPr>
          <w:rFonts w:ascii="Tahoma" w:hAnsi="Tahoma" w:cs="Tahoma"/>
          <w:color w:val="auto"/>
          <w:szCs w:val="16"/>
        </w:rPr>
        <w:t xml:space="preserve"> </w:t>
      </w:r>
      <w:r w:rsidR="003B6AFE">
        <w:rPr>
          <w:rFonts w:ascii="Tahoma" w:hAnsi="Tahoma" w:cs="Tahoma"/>
          <w:color w:val="auto"/>
          <w:szCs w:val="16"/>
        </w:rPr>
        <w:t>en la vigencia 2015, fueron</w:t>
      </w:r>
      <w:r w:rsidR="00B76DC7">
        <w:rPr>
          <w:rFonts w:ascii="Tahoma" w:hAnsi="Tahoma" w:cs="Tahoma"/>
          <w:color w:val="auto"/>
          <w:szCs w:val="16"/>
        </w:rPr>
        <w:t xml:space="preserve"> </w:t>
      </w:r>
      <w:r w:rsidR="00B76DC7" w:rsidRPr="00B76DC7">
        <w:rPr>
          <w:rFonts w:ascii="Tahoma" w:hAnsi="Tahoma" w:cs="Tahoma"/>
          <w:color w:val="auto"/>
          <w:szCs w:val="16"/>
        </w:rPr>
        <w:t>Otros  Sectores</w:t>
      </w:r>
      <w:r w:rsidR="00B76DC7">
        <w:rPr>
          <w:rFonts w:ascii="Tahoma" w:hAnsi="Tahoma" w:cs="Tahoma"/>
          <w:color w:val="auto"/>
          <w:szCs w:val="16"/>
        </w:rPr>
        <w:t xml:space="preserve"> </w:t>
      </w:r>
      <w:r w:rsidR="00717687">
        <w:rPr>
          <w:rFonts w:ascii="Tahoma" w:hAnsi="Tahoma" w:cs="Tahoma"/>
          <w:color w:val="auto"/>
          <w:szCs w:val="16"/>
        </w:rPr>
        <w:t xml:space="preserve">con </w:t>
      </w:r>
      <w:r w:rsidR="005F11EA">
        <w:rPr>
          <w:rFonts w:ascii="Tahoma" w:hAnsi="Tahoma" w:cs="Tahoma"/>
          <w:color w:val="auto"/>
          <w:szCs w:val="16"/>
        </w:rPr>
        <w:t>$</w:t>
      </w:r>
      <w:r w:rsidR="007857D0">
        <w:rPr>
          <w:rFonts w:ascii="Tahoma" w:hAnsi="Tahoma" w:cs="Tahoma"/>
          <w:color w:val="auto"/>
          <w:szCs w:val="16"/>
        </w:rPr>
        <w:t xml:space="preserve"> 4.52</w:t>
      </w:r>
      <w:r w:rsidR="00B76DC7">
        <w:rPr>
          <w:rFonts w:ascii="Tahoma" w:hAnsi="Tahoma" w:cs="Tahoma"/>
          <w:color w:val="auto"/>
          <w:szCs w:val="16"/>
        </w:rPr>
        <w:t xml:space="preserve">3 </w:t>
      </w:r>
      <w:r w:rsidR="00264A57">
        <w:rPr>
          <w:rFonts w:ascii="Tahoma" w:hAnsi="Tahoma" w:cs="Tahoma"/>
          <w:color w:val="auto"/>
          <w:szCs w:val="16"/>
        </w:rPr>
        <w:t>millones</w:t>
      </w:r>
      <w:r w:rsidR="00396E50">
        <w:rPr>
          <w:rFonts w:ascii="Tahoma" w:hAnsi="Tahoma" w:cs="Tahoma"/>
          <w:color w:val="auto"/>
          <w:szCs w:val="16"/>
        </w:rPr>
        <w:t xml:space="preserve">, </w:t>
      </w:r>
      <w:r w:rsidR="00B76DC7" w:rsidRPr="00B76DC7">
        <w:rPr>
          <w:rFonts w:ascii="Tahoma" w:hAnsi="Tahoma" w:cs="Tahoma"/>
          <w:color w:val="auto"/>
          <w:szCs w:val="16"/>
        </w:rPr>
        <w:t>Sector Recreación</w:t>
      </w:r>
      <w:r w:rsidR="00B76DC7">
        <w:rPr>
          <w:rFonts w:ascii="Tahoma" w:hAnsi="Tahoma" w:cs="Tahoma"/>
          <w:color w:val="auto"/>
          <w:szCs w:val="16"/>
        </w:rPr>
        <w:t xml:space="preserve"> y</w:t>
      </w:r>
      <w:r w:rsidR="00B76DC7" w:rsidRPr="00B76DC7">
        <w:rPr>
          <w:rFonts w:ascii="Tahoma" w:hAnsi="Tahoma" w:cs="Tahoma"/>
          <w:color w:val="auto"/>
          <w:szCs w:val="16"/>
        </w:rPr>
        <w:t xml:space="preserve"> Deporte </w:t>
      </w:r>
      <w:r w:rsidR="00B76DC7">
        <w:rPr>
          <w:rFonts w:ascii="Tahoma" w:hAnsi="Tahoma" w:cs="Tahoma"/>
          <w:color w:val="auto"/>
          <w:szCs w:val="16"/>
        </w:rPr>
        <w:t xml:space="preserve">$ 1.259 </w:t>
      </w:r>
      <w:r w:rsidR="00396E50">
        <w:rPr>
          <w:rFonts w:ascii="Tahoma" w:hAnsi="Tahoma" w:cs="Tahoma"/>
          <w:color w:val="auto"/>
          <w:szCs w:val="16"/>
        </w:rPr>
        <w:t>millones,</w:t>
      </w:r>
      <w:r w:rsidR="00B76DC7" w:rsidRPr="00B76DC7">
        <w:t xml:space="preserve"> </w:t>
      </w:r>
      <w:r w:rsidR="00B76DC7" w:rsidRPr="00B76DC7">
        <w:rPr>
          <w:rFonts w:ascii="Tahoma" w:hAnsi="Tahoma" w:cs="Tahoma"/>
          <w:color w:val="auto"/>
          <w:szCs w:val="16"/>
        </w:rPr>
        <w:t>Saneamiento Básico</w:t>
      </w:r>
      <w:r w:rsidR="00B76DC7">
        <w:rPr>
          <w:rFonts w:ascii="Tahoma" w:hAnsi="Tahoma" w:cs="Tahoma"/>
          <w:color w:val="auto"/>
          <w:szCs w:val="16"/>
        </w:rPr>
        <w:t xml:space="preserve"> $1.244 </w:t>
      </w:r>
      <w:r w:rsidR="00396E50">
        <w:rPr>
          <w:rFonts w:ascii="Tahoma" w:hAnsi="Tahoma" w:cs="Tahoma"/>
          <w:color w:val="auto"/>
          <w:szCs w:val="16"/>
        </w:rPr>
        <w:t xml:space="preserve"> millones</w:t>
      </w:r>
      <w:r w:rsidR="00B76DC7">
        <w:rPr>
          <w:rFonts w:ascii="Tahoma" w:hAnsi="Tahoma" w:cs="Tahoma"/>
          <w:color w:val="auto"/>
          <w:szCs w:val="16"/>
        </w:rPr>
        <w:t xml:space="preserve">, </w:t>
      </w:r>
      <w:r w:rsidR="00B76DC7" w:rsidRPr="00B76DC7">
        <w:rPr>
          <w:rFonts w:ascii="Tahoma" w:hAnsi="Tahoma" w:cs="Tahoma"/>
          <w:color w:val="auto"/>
          <w:szCs w:val="16"/>
        </w:rPr>
        <w:t>Sector Salud</w:t>
      </w:r>
      <w:r w:rsidR="00B76DC7">
        <w:rPr>
          <w:rFonts w:ascii="Tahoma" w:hAnsi="Tahoma" w:cs="Tahoma"/>
          <w:color w:val="auto"/>
          <w:szCs w:val="16"/>
        </w:rPr>
        <w:t xml:space="preserve"> </w:t>
      </w:r>
      <w:r w:rsidR="00396E50">
        <w:rPr>
          <w:rFonts w:ascii="Tahoma" w:hAnsi="Tahoma" w:cs="Tahoma"/>
          <w:color w:val="auto"/>
          <w:szCs w:val="16"/>
        </w:rPr>
        <w:t>$</w:t>
      </w:r>
      <w:r w:rsidR="00B76DC7">
        <w:rPr>
          <w:rFonts w:ascii="Tahoma" w:hAnsi="Tahoma" w:cs="Tahoma"/>
          <w:color w:val="auto"/>
          <w:szCs w:val="16"/>
        </w:rPr>
        <w:t xml:space="preserve"> 741</w:t>
      </w:r>
      <w:r w:rsidR="00396E50">
        <w:rPr>
          <w:rFonts w:ascii="Tahoma" w:hAnsi="Tahoma" w:cs="Tahoma"/>
          <w:color w:val="auto"/>
          <w:szCs w:val="16"/>
        </w:rPr>
        <w:t xml:space="preserve"> millones, </w:t>
      </w:r>
      <w:r w:rsidR="00805925" w:rsidRPr="00B76DC7">
        <w:rPr>
          <w:rFonts w:ascii="Tahoma" w:hAnsi="Tahoma" w:cs="Tahoma"/>
          <w:color w:val="auto"/>
          <w:szCs w:val="16"/>
        </w:rPr>
        <w:t>Sector Vivienda</w:t>
      </w:r>
      <w:r w:rsidR="00805925">
        <w:rPr>
          <w:rFonts w:ascii="Tahoma" w:hAnsi="Tahoma" w:cs="Tahoma"/>
          <w:color w:val="auto"/>
          <w:szCs w:val="16"/>
        </w:rPr>
        <w:t xml:space="preserve"> $409 millones, </w:t>
      </w:r>
      <w:r w:rsidR="00805925" w:rsidRPr="00B76DC7">
        <w:rPr>
          <w:rFonts w:ascii="Tahoma" w:hAnsi="Tahoma" w:cs="Tahoma"/>
          <w:color w:val="auto"/>
          <w:szCs w:val="16"/>
        </w:rPr>
        <w:t>Desarrollo Comunitario</w:t>
      </w:r>
      <w:r w:rsidR="00805925">
        <w:rPr>
          <w:rFonts w:ascii="Tahoma" w:hAnsi="Tahoma" w:cs="Tahoma"/>
          <w:color w:val="auto"/>
          <w:szCs w:val="16"/>
        </w:rPr>
        <w:t xml:space="preserve"> $112 millones. </w:t>
      </w:r>
    </w:p>
    <w:p w:rsidR="00FE1ACA" w:rsidRDefault="00FE1ACA" w:rsidP="00B92753">
      <w:pPr>
        <w:spacing w:before="0" w:after="0"/>
        <w:jc w:val="center"/>
        <w:rPr>
          <w:noProof/>
          <w:lang w:val="es-ES" w:eastAsia="es-ES"/>
        </w:rPr>
      </w:pPr>
    </w:p>
    <w:p w:rsidR="00FE1ACA" w:rsidRDefault="00FE1ACA" w:rsidP="00B92753">
      <w:pPr>
        <w:spacing w:before="0" w:after="0"/>
        <w:jc w:val="center"/>
        <w:rPr>
          <w:noProof/>
          <w:lang w:val="es-ES" w:eastAsia="es-ES"/>
        </w:rPr>
      </w:pPr>
      <w:r>
        <w:rPr>
          <w:noProof/>
        </w:rPr>
        <w:lastRenderedPageBreak/>
        <w:drawing>
          <wp:inline distT="0" distB="0" distL="0" distR="0">
            <wp:extent cx="5486400" cy="3572934"/>
            <wp:effectExtent l="0" t="0" r="19050" b="2794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E1ACA" w:rsidRDefault="00FE1ACA"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9531E2" w:rsidRDefault="009531E2" w:rsidP="00B92753">
      <w:pPr>
        <w:spacing w:before="0" w:after="0"/>
        <w:jc w:val="center"/>
        <w:rPr>
          <w:noProof/>
          <w:lang w:val="es-ES" w:eastAsia="es-ES"/>
        </w:rPr>
      </w:pPr>
    </w:p>
    <w:p w:rsidR="004F38FE" w:rsidRDefault="004F38FE" w:rsidP="001D6862">
      <w:pPr>
        <w:spacing w:before="0" w:after="0"/>
        <w:rPr>
          <w:rFonts w:ascii="Tahoma" w:hAnsi="Tahoma" w:cs="Tahoma"/>
          <w:b/>
          <w:szCs w:val="24"/>
        </w:rPr>
      </w:pPr>
    </w:p>
    <w:p w:rsidR="00524E1D" w:rsidRDefault="00E111B6" w:rsidP="001D6862">
      <w:pPr>
        <w:spacing w:before="0" w:after="0"/>
        <w:rPr>
          <w:rFonts w:ascii="Tahoma" w:hAnsi="Tahoma" w:cs="Tahoma"/>
          <w:b/>
          <w:szCs w:val="24"/>
        </w:rPr>
      </w:pPr>
      <w:r>
        <w:rPr>
          <w:rFonts w:ascii="Tahoma" w:hAnsi="Tahoma" w:cs="Tahoma"/>
          <w:b/>
          <w:szCs w:val="24"/>
        </w:rPr>
        <w:t>GASTOS EJECUTADOS</w:t>
      </w:r>
    </w:p>
    <w:p w:rsidR="00072FEB" w:rsidRPr="00565F73" w:rsidRDefault="00072FEB" w:rsidP="001D6862">
      <w:pPr>
        <w:spacing w:before="0" w:after="0"/>
        <w:rPr>
          <w:rFonts w:ascii="Tahoma" w:hAnsi="Tahoma" w:cs="Tahoma"/>
          <w:b/>
          <w:sz w:val="16"/>
          <w:szCs w:val="24"/>
        </w:rPr>
      </w:pPr>
    </w:p>
    <w:p w:rsidR="00CD3A6C" w:rsidRDefault="00524E1D" w:rsidP="00C01693">
      <w:pPr>
        <w:spacing w:before="0" w:after="0"/>
        <w:jc w:val="both"/>
        <w:rPr>
          <w:rFonts w:ascii="Tahoma" w:hAnsi="Tahoma" w:cs="Tahoma"/>
          <w:bCs/>
          <w:color w:val="auto"/>
        </w:rPr>
      </w:pPr>
      <w:r w:rsidRPr="00B65E8C">
        <w:rPr>
          <w:rFonts w:ascii="Tahoma" w:hAnsi="Tahoma" w:cs="Tahoma"/>
          <w:color w:val="auto"/>
        </w:rPr>
        <w:t>A</w:t>
      </w:r>
      <w:r w:rsidR="00E111B6">
        <w:rPr>
          <w:rFonts w:ascii="Tahoma" w:hAnsi="Tahoma" w:cs="Tahoma"/>
          <w:color w:val="auto"/>
        </w:rPr>
        <w:t xml:space="preserve"> Diciembre 31 de 2015, </w:t>
      </w:r>
      <w:r w:rsidRPr="00B65E8C">
        <w:rPr>
          <w:rFonts w:ascii="Tahoma" w:hAnsi="Tahoma" w:cs="Tahoma"/>
          <w:color w:val="auto"/>
        </w:rPr>
        <w:t xml:space="preserve">el Municipio de </w:t>
      </w:r>
      <w:r w:rsidR="003C2C8D">
        <w:rPr>
          <w:rFonts w:ascii="Tahoma" w:hAnsi="Tahoma" w:cs="Tahoma"/>
          <w:szCs w:val="24"/>
        </w:rPr>
        <w:t xml:space="preserve">Anzoátegui </w:t>
      </w:r>
      <w:r w:rsidRPr="00B65E8C">
        <w:rPr>
          <w:rFonts w:ascii="Tahoma" w:hAnsi="Tahoma" w:cs="Tahoma"/>
          <w:color w:val="auto"/>
        </w:rPr>
        <w:t xml:space="preserve"> comprometió gastos por  </w:t>
      </w:r>
      <w:r w:rsidR="00E111B6">
        <w:rPr>
          <w:rFonts w:ascii="Tahoma" w:hAnsi="Tahoma" w:cs="Tahoma"/>
          <w:color w:val="auto"/>
        </w:rPr>
        <w:t>la suma</w:t>
      </w:r>
      <w:r w:rsidRPr="00B65E8C">
        <w:rPr>
          <w:rFonts w:ascii="Tahoma" w:hAnsi="Tahoma" w:cs="Tahoma"/>
          <w:color w:val="auto"/>
        </w:rPr>
        <w:t xml:space="preserve"> de $</w:t>
      </w:r>
      <w:r w:rsidR="006A72BA">
        <w:rPr>
          <w:rFonts w:ascii="Tahoma" w:hAnsi="Tahoma" w:cs="Tahoma"/>
          <w:color w:val="auto"/>
        </w:rPr>
        <w:t>19.266</w:t>
      </w:r>
      <w:r w:rsidR="00264A57">
        <w:rPr>
          <w:rFonts w:ascii="Tahoma" w:hAnsi="Tahoma" w:cs="Tahoma"/>
          <w:color w:val="auto"/>
        </w:rPr>
        <w:t xml:space="preserve"> millones</w:t>
      </w:r>
      <w:r w:rsidR="00E111B6">
        <w:rPr>
          <w:rFonts w:ascii="Tahoma" w:hAnsi="Tahoma" w:cs="Tahoma"/>
          <w:color w:val="auto"/>
        </w:rPr>
        <w:t xml:space="preserve">, </w:t>
      </w:r>
      <w:r w:rsidR="006C7116">
        <w:rPr>
          <w:rFonts w:ascii="Tahoma" w:hAnsi="Tahoma" w:cs="Tahoma"/>
          <w:color w:val="auto"/>
        </w:rPr>
        <w:t xml:space="preserve"> </w:t>
      </w:r>
      <w:r w:rsidRPr="00B65E8C">
        <w:rPr>
          <w:rFonts w:ascii="Tahoma" w:hAnsi="Tahoma" w:cs="Tahoma"/>
          <w:bCs/>
          <w:color w:val="auto"/>
        </w:rPr>
        <w:t>distribuidos entre Gastos de Funcionamiento por $</w:t>
      </w:r>
      <w:r w:rsidR="006A72BA">
        <w:rPr>
          <w:rFonts w:ascii="Tahoma" w:hAnsi="Tahoma" w:cs="Tahoma"/>
          <w:bCs/>
          <w:color w:val="auto"/>
        </w:rPr>
        <w:t>1.924</w:t>
      </w:r>
      <w:r w:rsidR="00264A57">
        <w:rPr>
          <w:rFonts w:ascii="Tahoma" w:hAnsi="Tahoma" w:cs="Tahoma"/>
          <w:bCs/>
          <w:color w:val="auto"/>
        </w:rPr>
        <w:t xml:space="preserve"> millones</w:t>
      </w:r>
      <w:r w:rsidR="006A72BA">
        <w:rPr>
          <w:rFonts w:ascii="Tahoma" w:hAnsi="Tahoma" w:cs="Tahoma"/>
          <w:bCs/>
          <w:color w:val="auto"/>
        </w:rPr>
        <w:t>,</w:t>
      </w:r>
      <w:r w:rsidRPr="00B65E8C">
        <w:rPr>
          <w:rFonts w:ascii="Tahoma" w:hAnsi="Tahoma" w:cs="Tahoma"/>
          <w:bCs/>
          <w:color w:val="auto"/>
        </w:rPr>
        <w:t xml:space="preserve"> e Inversión </w:t>
      </w:r>
      <w:r w:rsidR="009C7A81">
        <w:rPr>
          <w:rFonts w:ascii="Tahoma" w:hAnsi="Tahoma" w:cs="Tahoma"/>
          <w:bCs/>
          <w:color w:val="auto"/>
        </w:rPr>
        <w:t xml:space="preserve">en la suma </w:t>
      </w:r>
      <w:r w:rsidRPr="00B65E8C">
        <w:rPr>
          <w:rFonts w:ascii="Tahoma" w:hAnsi="Tahoma" w:cs="Tahoma"/>
          <w:bCs/>
          <w:color w:val="auto"/>
        </w:rPr>
        <w:t>de $</w:t>
      </w:r>
      <w:r w:rsidR="006A72BA">
        <w:rPr>
          <w:rFonts w:ascii="Tahoma" w:hAnsi="Tahoma" w:cs="Tahoma"/>
          <w:bCs/>
          <w:color w:val="auto"/>
        </w:rPr>
        <w:t>17.342</w:t>
      </w:r>
      <w:r w:rsidR="00264A57">
        <w:rPr>
          <w:rFonts w:ascii="Tahoma" w:hAnsi="Tahoma" w:cs="Tahoma"/>
          <w:bCs/>
          <w:color w:val="auto"/>
        </w:rPr>
        <w:t xml:space="preserve"> millones</w:t>
      </w:r>
      <w:r w:rsidR="006A72BA">
        <w:rPr>
          <w:rFonts w:ascii="Tahoma" w:hAnsi="Tahoma" w:cs="Tahoma"/>
          <w:bCs/>
          <w:color w:val="auto"/>
        </w:rPr>
        <w:t>.</w:t>
      </w:r>
      <w:r w:rsidR="00C01693">
        <w:rPr>
          <w:rFonts w:ascii="Tahoma" w:hAnsi="Tahoma" w:cs="Tahoma"/>
          <w:bCs/>
          <w:color w:val="auto"/>
        </w:rPr>
        <w:t xml:space="preserve">  </w:t>
      </w:r>
      <w:r w:rsidR="003A4812">
        <w:rPr>
          <w:rFonts w:ascii="Tahoma" w:hAnsi="Tahoma" w:cs="Tahoma"/>
          <w:bCs/>
          <w:color w:val="auto"/>
        </w:rPr>
        <w:t>V</w:t>
      </w:r>
      <w:r w:rsidR="004F38FE">
        <w:rPr>
          <w:rFonts w:ascii="Tahoma" w:hAnsi="Tahoma" w:cs="Tahoma"/>
          <w:bCs/>
          <w:color w:val="auto"/>
        </w:rPr>
        <w:t>er tabla.</w:t>
      </w:r>
    </w:p>
    <w:p w:rsidR="004F38FE" w:rsidRDefault="00717687" w:rsidP="008C11BF">
      <w:pPr>
        <w:spacing w:before="0" w:after="0"/>
        <w:jc w:val="center"/>
        <w:rPr>
          <w:rFonts w:ascii="Tahoma" w:hAnsi="Tahoma" w:cs="Tahoma"/>
          <w:bCs/>
          <w:color w:val="auto"/>
        </w:rPr>
      </w:pPr>
      <w:r w:rsidRPr="00717687">
        <w:rPr>
          <w:noProof/>
        </w:rPr>
        <w:lastRenderedPageBreak/>
        <w:drawing>
          <wp:inline distT="0" distB="0" distL="0" distR="0" wp14:anchorId="7646AF40" wp14:editId="10BE1F84">
            <wp:extent cx="5613376" cy="5478780"/>
            <wp:effectExtent l="0" t="0" r="6985"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12130" cy="5477564"/>
                    </a:xfrm>
                    <a:prstGeom prst="rect">
                      <a:avLst/>
                    </a:prstGeom>
                  </pic:spPr>
                </pic:pic>
              </a:graphicData>
            </a:graphic>
          </wp:inline>
        </w:drawing>
      </w:r>
    </w:p>
    <w:p w:rsidR="00C01693" w:rsidRPr="00565F73" w:rsidRDefault="00C01693" w:rsidP="00C01693">
      <w:pPr>
        <w:spacing w:before="0" w:after="0"/>
        <w:jc w:val="both"/>
        <w:rPr>
          <w:rFonts w:ascii="Tahoma" w:hAnsi="Tahoma" w:cs="Tahoma"/>
          <w:bCs/>
          <w:color w:val="auto"/>
          <w:sz w:val="14"/>
        </w:rPr>
      </w:pPr>
    </w:p>
    <w:p w:rsidR="005D655F" w:rsidRDefault="005D655F" w:rsidP="001D6862">
      <w:pPr>
        <w:spacing w:before="0" w:after="0"/>
        <w:jc w:val="both"/>
        <w:rPr>
          <w:rFonts w:ascii="Tahoma" w:hAnsi="Tahoma" w:cs="Tahoma"/>
          <w:bCs/>
          <w:color w:val="auto"/>
        </w:rPr>
      </w:pPr>
    </w:p>
    <w:p w:rsidR="005463E0" w:rsidRDefault="005463E0" w:rsidP="001D6862">
      <w:pPr>
        <w:spacing w:before="0" w:after="0"/>
        <w:jc w:val="both"/>
        <w:rPr>
          <w:rFonts w:ascii="Tahoma" w:hAnsi="Tahoma" w:cs="Tahoma"/>
          <w:bCs/>
          <w:color w:val="auto"/>
        </w:rPr>
      </w:pPr>
    </w:p>
    <w:p w:rsidR="00231ECA" w:rsidRDefault="00231ECA" w:rsidP="001D6862">
      <w:pPr>
        <w:spacing w:before="0" w:after="0"/>
        <w:jc w:val="both"/>
        <w:rPr>
          <w:rFonts w:ascii="Tahoma" w:hAnsi="Tahoma" w:cs="Tahoma"/>
          <w:b/>
          <w:bCs/>
          <w:color w:val="auto"/>
        </w:rPr>
      </w:pPr>
    </w:p>
    <w:p w:rsidR="00040B1A" w:rsidRPr="00E71D96" w:rsidRDefault="00454315" w:rsidP="001D6862">
      <w:pPr>
        <w:spacing w:before="0" w:after="0"/>
        <w:jc w:val="both"/>
        <w:rPr>
          <w:rFonts w:ascii="Tahoma" w:hAnsi="Tahoma" w:cs="Tahoma"/>
          <w:b/>
          <w:bCs/>
          <w:color w:val="auto"/>
        </w:rPr>
      </w:pPr>
      <w:r w:rsidRPr="00E71D96">
        <w:rPr>
          <w:rFonts w:ascii="Tahoma" w:hAnsi="Tahoma" w:cs="Tahoma"/>
          <w:b/>
          <w:bCs/>
          <w:color w:val="auto"/>
        </w:rPr>
        <w:t xml:space="preserve">COMPARATIVO DE </w:t>
      </w:r>
      <w:r w:rsidR="00926286">
        <w:rPr>
          <w:rFonts w:ascii="Tahoma" w:hAnsi="Tahoma" w:cs="Tahoma"/>
          <w:b/>
          <w:bCs/>
          <w:color w:val="auto"/>
        </w:rPr>
        <w:t>G</w:t>
      </w:r>
      <w:r w:rsidR="00F5220F">
        <w:rPr>
          <w:rFonts w:ascii="Tahoma" w:hAnsi="Tahoma" w:cs="Tahoma"/>
          <w:b/>
          <w:bCs/>
          <w:color w:val="auto"/>
        </w:rPr>
        <w:t>A</w:t>
      </w:r>
      <w:r w:rsidR="00926286">
        <w:rPr>
          <w:rFonts w:ascii="Tahoma" w:hAnsi="Tahoma" w:cs="Tahoma"/>
          <w:b/>
          <w:bCs/>
          <w:color w:val="auto"/>
        </w:rPr>
        <w:t>STOS COMPROMETIDOS</w:t>
      </w:r>
      <w:r w:rsidRPr="00E71D96">
        <w:rPr>
          <w:rFonts w:ascii="Tahoma" w:hAnsi="Tahoma" w:cs="Tahoma"/>
          <w:b/>
          <w:bCs/>
          <w:color w:val="auto"/>
        </w:rPr>
        <w:t xml:space="preserve"> 2014 – 2015</w:t>
      </w:r>
    </w:p>
    <w:p w:rsidR="00454315" w:rsidRDefault="00454315" w:rsidP="001D6862">
      <w:pPr>
        <w:spacing w:before="0" w:after="0"/>
        <w:jc w:val="both"/>
        <w:rPr>
          <w:rFonts w:ascii="Tahoma" w:hAnsi="Tahoma" w:cs="Tahoma"/>
          <w:bCs/>
          <w:color w:val="auto"/>
        </w:rPr>
      </w:pPr>
    </w:p>
    <w:p w:rsidR="00454315" w:rsidRDefault="006E21C8" w:rsidP="006E21C8">
      <w:pPr>
        <w:spacing w:before="0" w:after="0"/>
        <w:jc w:val="center"/>
        <w:rPr>
          <w:rFonts w:ascii="Tahoma" w:hAnsi="Tahoma" w:cs="Tahoma"/>
          <w:bCs/>
          <w:color w:val="auto"/>
        </w:rPr>
      </w:pPr>
      <w:r w:rsidRPr="006E21C8">
        <w:rPr>
          <w:noProof/>
        </w:rPr>
        <w:lastRenderedPageBreak/>
        <w:drawing>
          <wp:inline distT="0" distB="0" distL="0" distR="0" wp14:anchorId="704AD412" wp14:editId="01B6B253">
            <wp:extent cx="5220153" cy="1684166"/>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220153" cy="1684166"/>
                    </a:xfrm>
                    <a:prstGeom prst="rect">
                      <a:avLst/>
                    </a:prstGeom>
                  </pic:spPr>
                </pic:pic>
              </a:graphicData>
            </a:graphic>
          </wp:inline>
        </w:drawing>
      </w:r>
    </w:p>
    <w:p w:rsidR="0014403D" w:rsidRDefault="0014403D" w:rsidP="001D6862">
      <w:pPr>
        <w:spacing w:before="0" w:after="0"/>
        <w:jc w:val="both"/>
        <w:rPr>
          <w:rFonts w:ascii="Tahoma" w:hAnsi="Tahoma" w:cs="Tahoma"/>
          <w:bCs/>
          <w:color w:val="auto"/>
        </w:rPr>
      </w:pPr>
    </w:p>
    <w:p w:rsidR="00D76FA2" w:rsidRDefault="00D76FA2" w:rsidP="001D6862">
      <w:pPr>
        <w:spacing w:before="0" w:after="0"/>
        <w:jc w:val="both"/>
        <w:rPr>
          <w:rFonts w:ascii="Tahoma" w:hAnsi="Tahoma" w:cs="Tahoma"/>
          <w:bCs/>
          <w:color w:val="auto"/>
        </w:rPr>
      </w:pPr>
      <w:r>
        <w:rPr>
          <w:rFonts w:ascii="Tahoma" w:hAnsi="Tahoma" w:cs="Tahoma"/>
          <w:bCs/>
          <w:color w:val="auto"/>
        </w:rPr>
        <w:t xml:space="preserve">De lo anterior se pudo observar que </w:t>
      </w:r>
      <w:r w:rsidR="007E35B4">
        <w:rPr>
          <w:rFonts w:ascii="Tahoma" w:hAnsi="Tahoma" w:cs="Tahoma"/>
          <w:bCs/>
          <w:color w:val="auto"/>
        </w:rPr>
        <w:t>la ejecución del presupuesto de la vigencia 2015</w:t>
      </w:r>
      <w:r w:rsidR="00E15E67">
        <w:rPr>
          <w:rFonts w:ascii="Tahoma" w:hAnsi="Tahoma" w:cs="Tahoma"/>
          <w:bCs/>
          <w:color w:val="auto"/>
        </w:rPr>
        <w:t xml:space="preserve"> tuvo un crecimiento del </w:t>
      </w:r>
      <w:r w:rsidR="006E21C8">
        <w:rPr>
          <w:rFonts w:ascii="Tahoma" w:hAnsi="Tahoma" w:cs="Tahoma"/>
          <w:bCs/>
          <w:color w:val="auto"/>
        </w:rPr>
        <w:t>27.35%</w:t>
      </w:r>
      <w:r w:rsidR="00E15E67">
        <w:rPr>
          <w:rFonts w:ascii="Tahoma" w:hAnsi="Tahoma" w:cs="Tahoma"/>
          <w:bCs/>
          <w:color w:val="auto"/>
        </w:rPr>
        <w:t xml:space="preserve"> con relación al año anterior, siendo más </w:t>
      </w:r>
      <w:r w:rsidR="00C72CA5">
        <w:rPr>
          <w:rFonts w:ascii="Tahoma" w:hAnsi="Tahoma" w:cs="Tahoma"/>
          <w:bCs/>
          <w:color w:val="auto"/>
        </w:rPr>
        <w:t xml:space="preserve">representativo el incremento en las Transferencias Corrientes con el </w:t>
      </w:r>
      <w:r w:rsidR="00B76887">
        <w:rPr>
          <w:rFonts w:ascii="Tahoma" w:hAnsi="Tahoma" w:cs="Tahoma"/>
          <w:bCs/>
          <w:color w:val="auto"/>
        </w:rPr>
        <w:t>270.69</w:t>
      </w:r>
      <w:r w:rsidR="00C72CA5">
        <w:rPr>
          <w:rFonts w:ascii="Tahoma" w:hAnsi="Tahoma" w:cs="Tahoma"/>
          <w:bCs/>
          <w:color w:val="auto"/>
        </w:rPr>
        <w:t xml:space="preserve">%, </w:t>
      </w:r>
      <w:r w:rsidR="000229B5">
        <w:rPr>
          <w:rFonts w:ascii="Tahoma" w:hAnsi="Tahoma" w:cs="Tahoma"/>
          <w:bCs/>
          <w:color w:val="auto"/>
        </w:rPr>
        <w:t xml:space="preserve">los </w:t>
      </w:r>
      <w:r w:rsidR="009B4265">
        <w:rPr>
          <w:rFonts w:ascii="Tahoma" w:hAnsi="Tahoma" w:cs="Tahoma"/>
          <w:bCs/>
          <w:color w:val="auto"/>
        </w:rPr>
        <w:t xml:space="preserve">Gastos </w:t>
      </w:r>
      <w:r w:rsidR="00B76887">
        <w:rPr>
          <w:rFonts w:ascii="Tahoma" w:hAnsi="Tahoma" w:cs="Tahoma"/>
          <w:bCs/>
          <w:color w:val="auto"/>
        </w:rPr>
        <w:t>Generales</w:t>
      </w:r>
      <w:r w:rsidR="009B4265">
        <w:rPr>
          <w:rFonts w:ascii="Tahoma" w:hAnsi="Tahoma" w:cs="Tahoma"/>
          <w:bCs/>
          <w:color w:val="auto"/>
        </w:rPr>
        <w:t xml:space="preserve"> en un </w:t>
      </w:r>
      <w:r w:rsidR="00B76887">
        <w:rPr>
          <w:rFonts w:ascii="Tahoma" w:hAnsi="Tahoma" w:cs="Tahoma"/>
          <w:bCs/>
          <w:color w:val="auto"/>
        </w:rPr>
        <w:t>32.90</w:t>
      </w:r>
      <w:r w:rsidR="009B4265">
        <w:rPr>
          <w:rFonts w:ascii="Tahoma" w:hAnsi="Tahoma" w:cs="Tahoma"/>
          <w:bCs/>
          <w:color w:val="auto"/>
        </w:rPr>
        <w:t xml:space="preserve">% y los Gastos de Inversión </w:t>
      </w:r>
      <w:r w:rsidR="00337AB0">
        <w:rPr>
          <w:rFonts w:ascii="Tahoma" w:hAnsi="Tahoma" w:cs="Tahoma"/>
          <w:bCs/>
          <w:color w:val="auto"/>
        </w:rPr>
        <w:t xml:space="preserve">con el </w:t>
      </w:r>
      <w:r w:rsidR="009B4265">
        <w:rPr>
          <w:rFonts w:ascii="Tahoma" w:hAnsi="Tahoma" w:cs="Tahoma"/>
          <w:bCs/>
          <w:color w:val="auto"/>
        </w:rPr>
        <w:t xml:space="preserve"> </w:t>
      </w:r>
      <w:r w:rsidR="00B76887">
        <w:rPr>
          <w:rFonts w:ascii="Tahoma" w:hAnsi="Tahoma" w:cs="Tahoma"/>
          <w:bCs/>
          <w:color w:val="auto"/>
        </w:rPr>
        <w:t>2</w:t>
      </w:r>
      <w:r w:rsidR="00C72CA5">
        <w:rPr>
          <w:rFonts w:ascii="Tahoma" w:hAnsi="Tahoma" w:cs="Tahoma"/>
          <w:bCs/>
          <w:color w:val="auto"/>
        </w:rPr>
        <w:t>5.2</w:t>
      </w:r>
      <w:r w:rsidR="00B76887">
        <w:rPr>
          <w:rFonts w:ascii="Tahoma" w:hAnsi="Tahoma" w:cs="Tahoma"/>
          <w:bCs/>
          <w:color w:val="auto"/>
        </w:rPr>
        <w:t>3</w:t>
      </w:r>
      <w:r w:rsidR="009B4265">
        <w:rPr>
          <w:rFonts w:ascii="Tahoma" w:hAnsi="Tahoma" w:cs="Tahoma"/>
          <w:bCs/>
          <w:color w:val="auto"/>
        </w:rPr>
        <w:t>%</w:t>
      </w:r>
      <w:r w:rsidR="00B76887">
        <w:rPr>
          <w:rFonts w:ascii="Tahoma" w:hAnsi="Tahoma" w:cs="Tahoma"/>
          <w:bCs/>
          <w:color w:val="auto"/>
        </w:rPr>
        <w:t>.</w:t>
      </w:r>
      <w:r>
        <w:rPr>
          <w:rFonts w:ascii="Tahoma" w:hAnsi="Tahoma" w:cs="Tahoma"/>
          <w:bCs/>
          <w:color w:val="auto"/>
        </w:rPr>
        <w:t xml:space="preserve"> </w:t>
      </w:r>
    </w:p>
    <w:p w:rsidR="00D95BCE" w:rsidRPr="00741448" w:rsidRDefault="00D95BCE" w:rsidP="001D6862">
      <w:pPr>
        <w:spacing w:before="0" w:after="0"/>
        <w:jc w:val="center"/>
        <w:rPr>
          <w:rFonts w:ascii="Tahoma" w:hAnsi="Tahoma" w:cs="Tahoma"/>
          <w:b/>
        </w:rPr>
      </w:pPr>
    </w:p>
    <w:p w:rsidR="00524E1D" w:rsidRPr="00E924E2" w:rsidRDefault="005D655F" w:rsidP="001D6862">
      <w:pPr>
        <w:spacing w:before="0" w:after="0"/>
        <w:jc w:val="center"/>
        <w:rPr>
          <w:rFonts w:ascii="Tahoma" w:hAnsi="Tahoma" w:cs="Tahoma"/>
          <w:b/>
        </w:rPr>
      </w:pPr>
      <w:r w:rsidRPr="00741448">
        <w:rPr>
          <w:rFonts w:ascii="Tahoma" w:hAnsi="Tahoma" w:cs="Tahoma"/>
          <w:b/>
        </w:rPr>
        <w:t>C</w:t>
      </w:r>
      <w:r w:rsidR="00524E1D" w:rsidRPr="00741448">
        <w:rPr>
          <w:rFonts w:ascii="Tahoma" w:hAnsi="Tahoma" w:cs="Tahoma"/>
          <w:b/>
        </w:rPr>
        <w:t>APITULO 3</w:t>
      </w:r>
    </w:p>
    <w:p w:rsidR="00524E1D" w:rsidRPr="00E924E2" w:rsidRDefault="00524E1D" w:rsidP="001D6862">
      <w:pPr>
        <w:spacing w:before="0" w:after="0"/>
        <w:rPr>
          <w:rFonts w:ascii="Tahoma" w:hAnsi="Tahoma" w:cs="Tahoma"/>
          <w:b/>
        </w:rPr>
      </w:pPr>
    </w:p>
    <w:p w:rsidR="00E56795" w:rsidRDefault="00E56795" w:rsidP="001D6862">
      <w:pPr>
        <w:spacing w:before="0" w:after="0"/>
        <w:jc w:val="both"/>
        <w:rPr>
          <w:rFonts w:ascii="Tahoma" w:hAnsi="Tahoma" w:cs="Tahoma"/>
          <w:b/>
        </w:rPr>
      </w:pPr>
    </w:p>
    <w:p w:rsidR="00524E1D" w:rsidRDefault="00524E1D" w:rsidP="001D6862">
      <w:pPr>
        <w:spacing w:before="0" w:after="0"/>
        <w:jc w:val="both"/>
        <w:rPr>
          <w:rFonts w:ascii="Tahoma" w:hAnsi="Tahoma" w:cs="Tahoma"/>
          <w:b/>
        </w:rPr>
      </w:pPr>
      <w:r w:rsidRPr="00E924E2">
        <w:rPr>
          <w:rFonts w:ascii="Tahoma" w:hAnsi="Tahoma" w:cs="Tahoma"/>
          <w:b/>
        </w:rPr>
        <w:t>VIABILDIAD FINANCIERA</w:t>
      </w:r>
    </w:p>
    <w:p w:rsidR="00C46A08" w:rsidRDefault="00C46A08" w:rsidP="001D6862">
      <w:pPr>
        <w:spacing w:before="0" w:after="0"/>
        <w:jc w:val="both"/>
        <w:rPr>
          <w:rFonts w:ascii="Tahoma" w:hAnsi="Tahoma" w:cs="Tahoma"/>
          <w:b/>
        </w:rPr>
      </w:pPr>
    </w:p>
    <w:p w:rsidR="00EE23CA" w:rsidRDefault="00EE23CA" w:rsidP="00E56795">
      <w:pPr>
        <w:spacing w:before="0" w:after="0"/>
        <w:jc w:val="both"/>
      </w:pPr>
    </w:p>
    <w:p w:rsidR="00E56795" w:rsidRPr="00741448" w:rsidRDefault="00B24EC6" w:rsidP="00E56795">
      <w:pPr>
        <w:spacing w:before="0" w:after="0"/>
        <w:jc w:val="both"/>
      </w:pPr>
      <w:r>
        <w:t xml:space="preserve">El Municipio de </w:t>
      </w:r>
      <w:proofErr w:type="spellStart"/>
      <w:r w:rsidR="00B76887">
        <w:rPr>
          <w:rFonts w:ascii="Tahoma" w:hAnsi="Tahoma" w:cs="Tahoma"/>
          <w:szCs w:val="24"/>
        </w:rPr>
        <w:t>Anzoategui</w:t>
      </w:r>
      <w:proofErr w:type="spellEnd"/>
      <w:r w:rsidR="00C47D9E">
        <w:t xml:space="preserve"> está clasificado en Sexta (6) categoría y  el límite de los gastos de funcionamiento como proporción de sus ingresos corrientes de libre destinación es hasta un 80%, donde los  Gastos de funcionamiento no podrán superar el límite como proporción a sus ingresos corrientes de libre destinación</w:t>
      </w:r>
      <w:r w:rsidR="00E56795">
        <w:t xml:space="preserve"> </w:t>
      </w:r>
      <w:r w:rsidR="00E56795" w:rsidRPr="00741448">
        <w:t xml:space="preserve">según lo establecido en la Ley 617 de 2000.  </w:t>
      </w:r>
    </w:p>
    <w:p w:rsidR="00E56795" w:rsidRDefault="00E56795" w:rsidP="00E56795">
      <w:pPr>
        <w:spacing w:before="0" w:after="0"/>
        <w:jc w:val="both"/>
      </w:pPr>
    </w:p>
    <w:p w:rsidR="00C47D9E" w:rsidRPr="00E924E2" w:rsidRDefault="00C47D9E" w:rsidP="00C47D9E">
      <w:pPr>
        <w:spacing w:before="0" w:after="0"/>
        <w:jc w:val="both"/>
        <w:rPr>
          <w:rFonts w:ascii="Tahoma" w:hAnsi="Tahoma" w:cs="Tahoma"/>
          <w:b/>
        </w:rPr>
      </w:pPr>
    </w:p>
    <w:p w:rsidR="00524E1D" w:rsidRPr="00E924E2" w:rsidRDefault="00524E1D" w:rsidP="001D6862">
      <w:pPr>
        <w:pStyle w:val="NormalWeb"/>
        <w:spacing w:before="0" w:beforeAutospacing="0" w:after="0" w:afterAutospacing="0"/>
        <w:jc w:val="both"/>
        <w:rPr>
          <w:rFonts w:ascii="Tahoma" w:hAnsi="Tahoma" w:cs="Tahoma"/>
          <w:b/>
          <w:sz w:val="22"/>
          <w:szCs w:val="22"/>
        </w:rPr>
      </w:pPr>
      <w:r w:rsidRPr="00E924E2">
        <w:rPr>
          <w:rFonts w:ascii="Tahoma" w:hAnsi="Tahoma" w:cs="Tahoma"/>
          <w:b/>
          <w:bCs/>
          <w:sz w:val="22"/>
          <w:szCs w:val="22"/>
        </w:rPr>
        <w:t>3.</w:t>
      </w:r>
      <w:r w:rsidR="00E56795">
        <w:rPr>
          <w:rFonts w:ascii="Tahoma" w:hAnsi="Tahoma" w:cs="Tahoma"/>
          <w:b/>
          <w:bCs/>
          <w:sz w:val="22"/>
          <w:szCs w:val="22"/>
        </w:rPr>
        <w:t>1</w:t>
      </w:r>
      <w:r w:rsidRPr="00E924E2">
        <w:rPr>
          <w:rFonts w:ascii="Tahoma" w:hAnsi="Tahoma" w:cs="Tahoma"/>
          <w:b/>
          <w:bCs/>
          <w:sz w:val="22"/>
          <w:szCs w:val="22"/>
        </w:rPr>
        <w:t xml:space="preserve">  </w:t>
      </w:r>
      <w:r w:rsidR="00741448">
        <w:rPr>
          <w:rFonts w:ascii="Tahoma" w:hAnsi="Tahoma" w:cs="Tahoma"/>
          <w:b/>
          <w:bCs/>
          <w:sz w:val="22"/>
          <w:szCs w:val="22"/>
        </w:rPr>
        <w:t>Indicador de Gastos de</w:t>
      </w:r>
      <w:r w:rsidRPr="00E924E2">
        <w:rPr>
          <w:rFonts w:ascii="Tahoma" w:hAnsi="Tahoma" w:cs="Tahoma"/>
          <w:b/>
          <w:sz w:val="22"/>
          <w:szCs w:val="22"/>
        </w:rPr>
        <w:t xml:space="preserve"> Funcionamiento</w:t>
      </w:r>
      <w:r w:rsidR="00741448">
        <w:rPr>
          <w:rFonts w:ascii="Tahoma" w:hAnsi="Tahoma" w:cs="Tahoma"/>
          <w:b/>
          <w:sz w:val="22"/>
          <w:szCs w:val="22"/>
        </w:rPr>
        <w:t xml:space="preserve">  VS  I.C.L.D</w:t>
      </w:r>
    </w:p>
    <w:p w:rsidR="00741448" w:rsidRDefault="00741448" w:rsidP="00741448">
      <w:pPr>
        <w:pStyle w:val="NormalWeb"/>
        <w:spacing w:before="0" w:beforeAutospacing="0" w:after="0" w:afterAutospacing="0"/>
        <w:rPr>
          <w:rFonts w:ascii="Tahoma" w:hAnsi="Tahoma" w:cs="Tahoma"/>
          <w:b/>
          <w:sz w:val="22"/>
          <w:szCs w:val="22"/>
        </w:rPr>
      </w:pPr>
    </w:p>
    <w:p w:rsidR="00EE23CA" w:rsidRDefault="00EE23CA" w:rsidP="00741448">
      <w:pPr>
        <w:pStyle w:val="NormalWeb"/>
        <w:spacing w:before="0" w:beforeAutospacing="0" w:after="0" w:afterAutospacing="0"/>
        <w:rPr>
          <w:rFonts w:ascii="Tahoma" w:hAnsi="Tahoma" w:cs="Tahoma"/>
          <w:b/>
          <w:sz w:val="22"/>
          <w:szCs w:val="22"/>
        </w:rPr>
      </w:pPr>
    </w:p>
    <w:p w:rsidR="00524E1D" w:rsidRDefault="00524E1D" w:rsidP="00741448">
      <w:pPr>
        <w:pStyle w:val="NormalWeb"/>
        <w:spacing w:before="0" w:beforeAutospacing="0" w:after="0" w:afterAutospacing="0"/>
        <w:rPr>
          <w:rFonts w:ascii="Tahoma" w:hAnsi="Tahoma" w:cs="Tahoma"/>
          <w:b/>
          <w:sz w:val="22"/>
          <w:szCs w:val="22"/>
        </w:rPr>
      </w:pPr>
      <w:r w:rsidRPr="00E924E2">
        <w:rPr>
          <w:rFonts w:ascii="Tahoma" w:hAnsi="Tahoma" w:cs="Tahoma"/>
          <w:b/>
          <w:sz w:val="22"/>
          <w:szCs w:val="22"/>
        </w:rPr>
        <w:t xml:space="preserve">Gastos de Funcionamiento / Ingresos Corriente Libre Destinación </w:t>
      </w:r>
    </w:p>
    <w:p w:rsidR="00826FF2" w:rsidRDefault="00826FF2" w:rsidP="00741448">
      <w:pPr>
        <w:pStyle w:val="NormalWeb"/>
        <w:spacing w:before="0" w:beforeAutospacing="0" w:after="0" w:afterAutospacing="0"/>
        <w:rPr>
          <w:rFonts w:ascii="Tahoma" w:hAnsi="Tahoma" w:cs="Tahoma"/>
          <w:b/>
          <w:sz w:val="22"/>
          <w:szCs w:val="22"/>
        </w:rPr>
      </w:pPr>
    </w:p>
    <w:p w:rsidR="00826FF2" w:rsidRDefault="00826FF2" w:rsidP="00741448">
      <w:pPr>
        <w:pStyle w:val="NormalWeb"/>
        <w:spacing w:before="0" w:beforeAutospacing="0" w:after="0" w:afterAutospacing="0"/>
        <w:rPr>
          <w:rFonts w:ascii="Tahoma" w:hAnsi="Tahoma" w:cs="Tahoma"/>
          <w:b/>
          <w:sz w:val="22"/>
          <w:szCs w:val="22"/>
        </w:rPr>
      </w:pPr>
    </w:p>
    <w:p w:rsidR="00826FF2" w:rsidRDefault="00826FF2" w:rsidP="00741448">
      <w:pPr>
        <w:pStyle w:val="NormalWeb"/>
        <w:spacing w:before="0" w:beforeAutospacing="0" w:after="0" w:afterAutospacing="0"/>
        <w:rPr>
          <w:rFonts w:ascii="Tahoma" w:hAnsi="Tahoma" w:cs="Tahoma"/>
          <w:b/>
          <w:sz w:val="22"/>
          <w:szCs w:val="22"/>
        </w:rPr>
      </w:pPr>
    </w:p>
    <w:p w:rsidR="00826FF2" w:rsidRDefault="00826FF2" w:rsidP="00741448">
      <w:pPr>
        <w:pStyle w:val="NormalWeb"/>
        <w:spacing w:before="0" w:beforeAutospacing="0" w:after="0" w:afterAutospacing="0"/>
        <w:rPr>
          <w:rFonts w:ascii="Tahoma" w:hAnsi="Tahoma" w:cs="Tahoma"/>
          <w:b/>
          <w:sz w:val="22"/>
          <w:szCs w:val="22"/>
        </w:rPr>
      </w:pPr>
    </w:p>
    <w:p w:rsidR="00826FF2" w:rsidRDefault="00826FF2" w:rsidP="00741448">
      <w:pPr>
        <w:pStyle w:val="NormalWeb"/>
        <w:spacing w:before="0" w:beforeAutospacing="0" w:after="0" w:afterAutospacing="0"/>
        <w:rPr>
          <w:rFonts w:ascii="Tahoma" w:hAnsi="Tahoma" w:cs="Tahoma"/>
          <w:b/>
          <w:sz w:val="22"/>
          <w:szCs w:val="22"/>
        </w:rPr>
      </w:pPr>
    </w:p>
    <w:p w:rsidR="00826FF2" w:rsidRDefault="00826FF2" w:rsidP="00741448">
      <w:pPr>
        <w:pStyle w:val="NormalWeb"/>
        <w:spacing w:before="0" w:beforeAutospacing="0" w:after="0" w:afterAutospacing="0"/>
        <w:rPr>
          <w:rFonts w:ascii="Tahoma" w:hAnsi="Tahoma" w:cs="Tahoma"/>
          <w:b/>
          <w:sz w:val="22"/>
          <w:szCs w:val="22"/>
        </w:rPr>
      </w:pPr>
    </w:p>
    <w:p w:rsidR="00826FF2" w:rsidRDefault="00826FF2" w:rsidP="00741448">
      <w:pPr>
        <w:pStyle w:val="NormalWeb"/>
        <w:spacing w:before="0" w:beforeAutospacing="0" w:after="0" w:afterAutospacing="0"/>
        <w:rPr>
          <w:rFonts w:ascii="Tahoma" w:hAnsi="Tahoma" w:cs="Tahoma"/>
          <w:b/>
          <w:sz w:val="22"/>
          <w:szCs w:val="22"/>
        </w:rPr>
      </w:pPr>
    </w:p>
    <w:p w:rsidR="00826FF2" w:rsidRPr="00826FF2" w:rsidRDefault="00826FF2" w:rsidP="00826FF2">
      <w:pPr>
        <w:shd w:val="clear" w:color="auto" w:fill="EAF5FF"/>
        <w:spacing w:before="0" w:after="0"/>
        <w:jc w:val="center"/>
        <w:rPr>
          <w:rFonts w:eastAsia="Times New Roman"/>
          <w:sz w:val="20"/>
          <w:szCs w:val="20"/>
        </w:rPr>
      </w:pPr>
      <w:r w:rsidRPr="00826FF2">
        <w:rPr>
          <w:rFonts w:eastAsia="Times New Roman"/>
          <w:b/>
          <w:bCs/>
          <w:sz w:val="20"/>
          <w:szCs w:val="20"/>
        </w:rPr>
        <w:t>CONTRALORÍA GENERAL DE LA REPÚBLICA</w:t>
      </w:r>
    </w:p>
    <w:p w:rsidR="00826FF2" w:rsidRPr="00826FF2" w:rsidRDefault="00826FF2" w:rsidP="00826FF2">
      <w:pPr>
        <w:shd w:val="clear" w:color="auto" w:fill="EAF5FF"/>
        <w:spacing w:before="0" w:after="0"/>
        <w:jc w:val="center"/>
        <w:rPr>
          <w:rFonts w:eastAsia="Times New Roman"/>
          <w:sz w:val="20"/>
          <w:szCs w:val="20"/>
        </w:rPr>
      </w:pPr>
      <w:r w:rsidRPr="00826FF2">
        <w:rPr>
          <w:rFonts w:eastAsia="Times New Roman"/>
          <w:b/>
          <w:bCs/>
          <w:sz w:val="20"/>
          <w:szCs w:val="20"/>
        </w:rPr>
        <w:t>CONTRALORÍA DELEGADA PARA ECONOMÍA Y FINANZAS PÚBLICAS</w:t>
      </w:r>
    </w:p>
    <w:p w:rsidR="00826FF2" w:rsidRPr="00826FF2" w:rsidRDefault="00826FF2" w:rsidP="00826FF2">
      <w:pPr>
        <w:shd w:val="clear" w:color="auto" w:fill="EAF5FF"/>
        <w:spacing w:before="0" w:after="0"/>
        <w:jc w:val="center"/>
        <w:rPr>
          <w:rFonts w:eastAsia="Times New Roman"/>
          <w:sz w:val="20"/>
          <w:szCs w:val="20"/>
        </w:rPr>
      </w:pPr>
      <w:r w:rsidRPr="00826FF2">
        <w:rPr>
          <w:rFonts w:eastAsia="Times New Roman"/>
          <w:b/>
          <w:bCs/>
          <w:sz w:val="20"/>
          <w:szCs w:val="20"/>
        </w:rPr>
        <w:lastRenderedPageBreak/>
        <w:t>DIRECCIÓN DE CUENTAS Y ESTADÍSTICAS FISCALES</w:t>
      </w:r>
    </w:p>
    <w:p w:rsidR="00826FF2" w:rsidRPr="00826FF2" w:rsidRDefault="00C10C2B" w:rsidP="00826FF2">
      <w:pPr>
        <w:spacing w:before="0" w:after="0"/>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v:rect id="_x0000_i1025" style="width:0;height:1.2pt" o:hralign="center" o:hrstd="t" o:hrnoshade="t" o:hr="t" fillcolor="black" stroked="f"/>
        </w:pict>
      </w:r>
    </w:p>
    <w:p w:rsidR="00826FF2" w:rsidRPr="00826FF2" w:rsidRDefault="00826FF2" w:rsidP="00826FF2">
      <w:pPr>
        <w:shd w:val="clear" w:color="auto" w:fill="EAF5FF"/>
        <w:spacing w:before="0" w:after="0"/>
        <w:jc w:val="center"/>
        <w:rPr>
          <w:rFonts w:eastAsia="Times New Roman"/>
          <w:sz w:val="20"/>
          <w:szCs w:val="20"/>
        </w:rPr>
      </w:pPr>
      <w:r w:rsidRPr="00826FF2">
        <w:rPr>
          <w:rFonts w:eastAsia="Times New Roman"/>
          <w:b/>
          <w:bCs/>
          <w:sz w:val="20"/>
          <w:szCs w:val="20"/>
        </w:rPr>
        <w:t>CONSULTA DATOS CERTIFICACIÓN LEY 617/00</w:t>
      </w: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826FF2" w:rsidRPr="00826FF2" w:rsidTr="00826FF2">
        <w:trPr>
          <w:tblCellSpacing w:w="15" w:type="dxa"/>
          <w:jc w:val="center"/>
        </w:trPr>
        <w:tc>
          <w:tcPr>
            <w:tcW w:w="0" w:type="auto"/>
            <w:shd w:val="clear" w:color="auto" w:fill="EAF5FF"/>
            <w:vAlign w:val="center"/>
            <w:hideMark/>
          </w:tcPr>
          <w:p w:rsidR="00826FF2" w:rsidRPr="00826FF2" w:rsidRDefault="00826FF2" w:rsidP="00826FF2">
            <w:pPr>
              <w:spacing w:before="0" w:after="0"/>
              <w:rPr>
                <w:rFonts w:eastAsia="Times New Roman"/>
                <w:color w:val="auto"/>
                <w:sz w:val="18"/>
                <w:szCs w:val="18"/>
              </w:rPr>
            </w:pPr>
          </w:p>
        </w:tc>
      </w:tr>
      <w:tr w:rsidR="00826FF2" w:rsidRPr="00826FF2" w:rsidTr="00826FF2">
        <w:trPr>
          <w:tblCellSpacing w:w="15" w:type="dxa"/>
          <w:jc w:val="center"/>
        </w:trPr>
        <w:tc>
          <w:tcPr>
            <w:tcW w:w="0" w:type="auto"/>
            <w:shd w:val="clear" w:color="auto" w:fill="EAF5FF"/>
            <w:vAlign w:val="center"/>
            <w:hideMark/>
          </w:tcPr>
          <w:p w:rsidR="00826FF2" w:rsidRPr="00826FF2" w:rsidRDefault="00826FF2" w:rsidP="00826FF2">
            <w:pPr>
              <w:spacing w:before="0" w:after="0"/>
              <w:rPr>
                <w:rFonts w:eastAsia="Times New Roman"/>
                <w:color w:val="auto"/>
                <w:sz w:val="18"/>
                <w:szCs w:val="18"/>
              </w:rPr>
            </w:pPr>
          </w:p>
        </w:tc>
      </w:tr>
      <w:tr w:rsidR="00826FF2" w:rsidRPr="00826FF2" w:rsidTr="00826FF2">
        <w:trPr>
          <w:tblCellSpacing w:w="15" w:type="dxa"/>
          <w:jc w:val="center"/>
        </w:trPr>
        <w:tc>
          <w:tcPr>
            <w:tcW w:w="0" w:type="auto"/>
            <w:shd w:val="clear" w:color="auto" w:fill="EAF5FF"/>
            <w:vAlign w:val="center"/>
            <w:hideMark/>
          </w:tcPr>
          <w:p w:rsidR="00826FF2" w:rsidRPr="00826FF2" w:rsidRDefault="00826FF2" w:rsidP="00826FF2">
            <w:pPr>
              <w:spacing w:before="0" w:after="0"/>
              <w:rPr>
                <w:rFonts w:eastAsia="Times New Roman"/>
                <w:color w:val="auto"/>
                <w:sz w:val="18"/>
                <w:szCs w:val="18"/>
              </w:rPr>
            </w:pPr>
          </w:p>
        </w:tc>
      </w:tr>
      <w:tr w:rsidR="00826FF2" w:rsidRPr="00826FF2" w:rsidTr="00826FF2">
        <w:trPr>
          <w:tblCellSpacing w:w="15" w:type="dxa"/>
          <w:jc w:val="center"/>
        </w:trPr>
        <w:tc>
          <w:tcPr>
            <w:tcW w:w="0" w:type="auto"/>
            <w:shd w:val="clear" w:color="auto" w:fill="EAF5FF"/>
            <w:vAlign w:val="center"/>
            <w:hideMark/>
          </w:tcPr>
          <w:p w:rsidR="00826FF2" w:rsidRPr="00826FF2" w:rsidRDefault="00826FF2" w:rsidP="00826FF2">
            <w:pPr>
              <w:spacing w:before="0" w:after="0"/>
              <w:rPr>
                <w:rFonts w:eastAsia="Times New Roman"/>
                <w:color w:val="auto"/>
                <w:sz w:val="18"/>
                <w:szCs w:val="18"/>
              </w:rPr>
            </w:pPr>
          </w:p>
        </w:tc>
      </w:tr>
      <w:tr w:rsidR="00826FF2" w:rsidRPr="00826FF2" w:rsidTr="00826FF2">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2397"/>
              <w:gridCol w:w="6003"/>
            </w:tblGrid>
            <w:tr w:rsidR="00826FF2" w:rsidRPr="00826FF2">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TOLIMA</w:t>
                  </w:r>
                </w:p>
              </w:tc>
            </w:tr>
            <w:tr w:rsidR="00826FF2" w:rsidRPr="00826FF2">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Nombre Municipio o Departamento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214373043 - ANZOÁTEGUI</w:t>
                  </w:r>
                </w:p>
              </w:tc>
            </w:tr>
            <w:tr w:rsidR="00826FF2" w:rsidRPr="00826FF2">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Vigencia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2015</w:t>
                  </w:r>
                </w:p>
              </w:tc>
            </w:tr>
            <w:tr w:rsidR="00826FF2" w:rsidRPr="00826FF2">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Categoría</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Sexta</w:t>
                  </w:r>
                </w:p>
              </w:tc>
            </w:tr>
            <w:tr w:rsidR="00826FF2" w:rsidRPr="00826FF2">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Límite del Gasto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80%</w:t>
                  </w:r>
                </w:p>
              </w:tc>
            </w:tr>
            <w:tr w:rsidR="00826FF2" w:rsidRPr="00826FF2">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Descripción sobre la Certificación</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826FF2" w:rsidRPr="00826FF2" w:rsidRDefault="00826FF2" w:rsidP="00826FF2">
                  <w:pPr>
                    <w:spacing w:before="0" w:after="0"/>
                    <w:rPr>
                      <w:rFonts w:eastAsia="Times New Roman"/>
                      <w:color w:val="auto"/>
                      <w:sz w:val="18"/>
                      <w:szCs w:val="18"/>
                    </w:rPr>
                  </w:pPr>
                  <w:r w:rsidRPr="00826FF2">
                    <w:rPr>
                      <w:rFonts w:eastAsia="Times New Roman"/>
                      <w:color w:val="auto"/>
                      <w:sz w:val="18"/>
                      <w:szCs w:val="18"/>
                    </w:rPr>
                    <w:t>Por deficiencia en la CALIDAD de la información de esta Entidad, no procede la CERTIFICACIÓN.</w:t>
                  </w:r>
                </w:p>
              </w:tc>
            </w:tr>
          </w:tbl>
          <w:p w:rsidR="00826FF2" w:rsidRPr="00826FF2" w:rsidRDefault="00826FF2" w:rsidP="00826FF2">
            <w:pPr>
              <w:spacing w:before="0" w:after="0"/>
              <w:jc w:val="center"/>
              <w:rPr>
                <w:rFonts w:eastAsia="Times New Roman"/>
                <w:color w:val="auto"/>
                <w:sz w:val="18"/>
                <w:szCs w:val="18"/>
              </w:rPr>
            </w:pPr>
          </w:p>
        </w:tc>
      </w:tr>
    </w:tbl>
    <w:p w:rsidR="005F5D93" w:rsidRPr="00AC2164" w:rsidRDefault="00AC2164" w:rsidP="00AC2164">
      <w:pPr>
        <w:spacing w:before="0" w:after="0"/>
        <w:rPr>
          <w:rFonts w:eastAsia="Times New Roman"/>
          <w:color w:val="auto"/>
          <w:sz w:val="18"/>
          <w:szCs w:val="18"/>
        </w:rPr>
      </w:pPr>
      <w:r>
        <w:rPr>
          <w:rFonts w:eastAsia="Times New Roman"/>
          <w:color w:val="auto"/>
          <w:sz w:val="18"/>
          <w:szCs w:val="18"/>
        </w:rPr>
        <w:t>Información tomada de la página de la Contraloría General de la República</w:t>
      </w:r>
    </w:p>
    <w:p w:rsidR="003C703A" w:rsidRDefault="003C703A" w:rsidP="00AC2164">
      <w:pPr>
        <w:pStyle w:val="Ttulo2"/>
        <w:jc w:val="both"/>
        <w:rPr>
          <w:rFonts w:ascii="Tahoma" w:hAnsi="Tahoma" w:cs="Tahoma"/>
          <w:b w:val="0"/>
          <w:sz w:val="22"/>
          <w:lang w:val="es-CO"/>
        </w:rPr>
      </w:pPr>
    </w:p>
    <w:p w:rsidR="00F14B06" w:rsidRDefault="00F14B06" w:rsidP="00F14B06">
      <w:pPr>
        <w:pStyle w:val="Ttulo2"/>
        <w:jc w:val="both"/>
        <w:rPr>
          <w:rFonts w:ascii="Tahoma" w:hAnsi="Tahoma" w:cs="Tahoma"/>
          <w:b w:val="0"/>
          <w:sz w:val="22"/>
          <w:lang w:val="es-CO"/>
        </w:rPr>
      </w:pPr>
      <w:r>
        <w:rPr>
          <w:rFonts w:ascii="Tahoma" w:hAnsi="Tahoma" w:cs="Tahoma"/>
          <w:b w:val="0"/>
          <w:sz w:val="22"/>
          <w:lang w:val="es-CO"/>
        </w:rPr>
        <w:t xml:space="preserve">El Municipio de Anzoátegui </w:t>
      </w:r>
      <w:r w:rsidRPr="00F14B06">
        <w:rPr>
          <w:rFonts w:ascii="Tahoma" w:hAnsi="Tahoma" w:cs="Tahoma"/>
          <w:sz w:val="22"/>
          <w:lang w:val="es-CO"/>
        </w:rPr>
        <w:t>NO</w:t>
      </w:r>
      <w:r>
        <w:rPr>
          <w:rFonts w:ascii="Tahoma" w:hAnsi="Tahoma" w:cs="Tahoma"/>
          <w:b w:val="0"/>
          <w:sz w:val="22"/>
          <w:lang w:val="es-CO"/>
        </w:rPr>
        <w:t xml:space="preserve"> fue certificado por la Contraloría General de la República, por deficiencias de la información.  Es de anotar que la información reportada a través de la Plataforma Chip, difiere a la información que reposa en el Ente Territorial.</w:t>
      </w:r>
    </w:p>
    <w:p w:rsidR="00487931" w:rsidRDefault="00487931" w:rsidP="00487931">
      <w:pPr>
        <w:pStyle w:val="Ttulo2"/>
        <w:jc w:val="both"/>
        <w:rPr>
          <w:rFonts w:ascii="Tahoma" w:hAnsi="Tahoma" w:cs="Tahoma"/>
          <w:b w:val="0"/>
          <w:sz w:val="22"/>
          <w:lang w:val="es-CO"/>
        </w:rPr>
      </w:pPr>
    </w:p>
    <w:p w:rsidR="00487931" w:rsidRDefault="00487931" w:rsidP="00487931">
      <w:pPr>
        <w:pStyle w:val="Ttulo2"/>
        <w:jc w:val="both"/>
        <w:rPr>
          <w:rFonts w:ascii="Tahoma" w:hAnsi="Tahoma" w:cs="Tahoma"/>
          <w:b w:val="0"/>
          <w:sz w:val="22"/>
          <w:lang w:val="es-CO"/>
        </w:rPr>
      </w:pPr>
      <w:r>
        <w:rPr>
          <w:rFonts w:ascii="Tahoma" w:hAnsi="Tahoma" w:cs="Tahoma"/>
          <w:b w:val="0"/>
          <w:sz w:val="22"/>
          <w:lang w:val="es-CO"/>
        </w:rPr>
        <w:t xml:space="preserve">Teniendo en cuenta la certificación de Ingresos corrientes de Libre Destinación de la vigencia </w:t>
      </w:r>
      <w:proofErr w:type="gramStart"/>
      <w:r>
        <w:rPr>
          <w:rFonts w:ascii="Tahoma" w:hAnsi="Tahoma" w:cs="Tahoma"/>
          <w:b w:val="0"/>
          <w:sz w:val="22"/>
          <w:lang w:val="es-CO"/>
        </w:rPr>
        <w:t>2015 ,</w:t>
      </w:r>
      <w:proofErr w:type="gramEnd"/>
      <w:r>
        <w:rPr>
          <w:rFonts w:ascii="Tahoma" w:hAnsi="Tahoma" w:cs="Tahoma"/>
          <w:b w:val="0"/>
          <w:sz w:val="22"/>
          <w:lang w:val="es-CO"/>
        </w:rPr>
        <w:t xml:space="preserve"> expedida por el Alcalde Municipal y la Ejecución presupuestal de Ingresos y Gastos, se evidenció que el Municipio de </w:t>
      </w:r>
      <w:r w:rsidR="004F372B">
        <w:rPr>
          <w:rFonts w:ascii="Tahoma" w:hAnsi="Tahoma" w:cs="Tahoma"/>
          <w:b w:val="0"/>
          <w:sz w:val="22"/>
          <w:lang w:val="es-CO"/>
        </w:rPr>
        <w:t>Anzoátegui</w:t>
      </w:r>
      <w:r>
        <w:rPr>
          <w:rFonts w:ascii="Tahoma" w:hAnsi="Tahoma" w:cs="Tahoma"/>
          <w:b w:val="0"/>
          <w:sz w:val="22"/>
          <w:lang w:val="es-CO"/>
        </w:rPr>
        <w:t xml:space="preserve"> </w:t>
      </w:r>
      <w:r w:rsidRPr="007C336F">
        <w:rPr>
          <w:rFonts w:ascii="Tahoma" w:hAnsi="Tahoma" w:cs="Tahoma"/>
          <w:sz w:val="22"/>
          <w:lang w:val="es-CO"/>
        </w:rPr>
        <w:t>CUMPLE</w:t>
      </w:r>
      <w:r>
        <w:rPr>
          <w:rFonts w:ascii="Tahoma" w:hAnsi="Tahoma" w:cs="Tahoma"/>
          <w:b w:val="0"/>
          <w:sz w:val="22"/>
          <w:lang w:val="es-CO"/>
        </w:rPr>
        <w:t xml:space="preserve"> con el indicador de ley 617 de 2000, toda vez que los Gastos de funcionamiento para la vigencia fiscal 2015 fueron del </w:t>
      </w:r>
      <w:r w:rsidRPr="00EB7EE1">
        <w:rPr>
          <w:rFonts w:ascii="Tahoma" w:hAnsi="Tahoma" w:cs="Tahoma"/>
          <w:sz w:val="22"/>
          <w:lang w:val="es-CO"/>
        </w:rPr>
        <w:t>6</w:t>
      </w:r>
      <w:r w:rsidR="004F372B">
        <w:rPr>
          <w:rFonts w:ascii="Tahoma" w:hAnsi="Tahoma" w:cs="Tahoma"/>
          <w:sz w:val="22"/>
          <w:lang w:val="es-CO"/>
        </w:rPr>
        <w:t>2.45%</w:t>
      </w:r>
      <w:r>
        <w:rPr>
          <w:rFonts w:ascii="Tahoma" w:hAnsi="Tahoma" w:cs="Tahoma"/>
          <w:b w:val="0"/>
          <w:sz w:val="22"/>
          <w:lang w:val="es-CO"/>
        </w:rPr>
        <w:t xml:space="preserve"> dónde el límite máximo es del 80%, como se evidencia a continuación:</w:t>
      </w:r>
    </w:p>
    <w:p w:rsidR="00487931" w:rsidRDefault="00487931" w:rsidP="00487931">
      <w:pPr>
        <w:pStyle w:val="Ttulo2"/>
        <w:jc w:val="both"/>
        <w:rPr>
          <w:rFonts w:ascii="Tahoma" w:hAnsi="Tahoma" w:cs="Tahoma"/>
          <w:b w:val="0"/>
          <w:sz w:val="22"/>
          <w:lang w:val="es-CO"/>
        </w:rPr>
      </w:pPr>
    </w:p>
    <w:tbl>
      <w:tblPr>
        <w:tblW w:w="8400" w:type="dxa"/>
        <w:jc w:val="center"/>
        <w:tblCellSpacing w:w="15" w:type="dxa"/>
        <w:shd w:val="clear" w:color="auto" w:fill="EAF5FF"/>
        <w:tblCellMar>
          <w:top w:w="15" w:type="dxa"/>
          <w:left w:w="15" w:type="dxa"/>
          <w:bottom w:w="15" w:type="dxa"/>
          <w:right w:w="15" w:type="dxa"/>
        </w:tblCellMar>
        <w:tblLook w:val="04A0" w:firstRow="1" w:lastRow="0" w:firstColumn="1" w:lastColumn="0" w:noHBand="0" w:noVBand="1"/>
      </w:tblPr>
      <w:tblGrid>
        <w:gridCol w:w="8536"/>
      </w:tblGrid>
      <w:tr w:rsidR="00487931" w:rsidRPr="00B867BE" w:rsidTr="00BE2773">
        <w:trPr>
          <w:tblCellSpacing w:w="15" w:type="dxa"/>
          <w:jc w:val="center"/>
        </w:trPr>
        <w:tc>
          <w:tcPr>
            <w:tcW w:w="0" w:type="auto"/>
            <w:shd w:val="clear" w:color="auto" w:fill="EAF5FF"/>
            <w:vAlign w:val="center"/>
            <w:hideMark/>
          </w:tcPr>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10"/>
              <w:gridCol w:w="5221"/>
              <w:gridCol w:w="2669"/>
            </w:tblGrid>
            <w:tr w:rsidR="00487931" w:rsidRPr="009E1BDB" w:rsidTr="00BE2773">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BE2773">
                  <w:pPr>
                    <w:spacing w:before="0" w:after="0"/>
                    <w:rPr>
                      <w:rFonts w:eastAsia="Times New Roman"/>
                      <w:color w:val="auto"/>
                      <w:sz w:val="18"/>
                      <w:szCs w:val="18"/>
                    </w:rPr>
                  </w:pPr>
                  <w:r w:rsidRPr="009E1BDB">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TOTAL ICLD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BE2773">
                  <w:pPr>
                    <w:spacing w:before="0" w:after="0"/>
                    <w:jc w:val="right"/>
                    <w:rPr>
                      <w:rFonts w:eastAsia="Times New Roman"/>
                      <w:color w:val="auto"/>
                      <w:sz w:val="18"/>
                      <w:szCs w:val="18"/>
                    </w:rPr>
                  </w:pPr>
                  <w:r>
                    <w:rPr>
                      <w:rFonts w:eastAsia="Times New Roman"/>
                      <w:color w:val="auto"/>
                      <w:sz w:val="18"/>
                      <w:szCs w:val="18"/>
                    </w:rPr>
                    <w:t>3.080.679</w:t>
                  </w:r>
                </w:p>
              </w:tc>
            </w:tr>
          </w:tbl>
          <w:p w:rsidR="00487931" w:rsidRPr="009E1BDB" w:rsidRDefault="00487931" w:rsidP="00BE2773">
            <w:pPr>
              <w:spacing w:before="0" w:after="0"/>
              <w:jc w:val="center"/>
              <w:rPr>
                <w:rFonts w:eastAsia="Times New Roman"/>
                <w:color w:val="auto"/>
                <w:sz w:val="18"/>
                <w:szCs w:val="18"/>
              </w:rPr>
            </w:pPr>
          </w:p>
        </w:tc>
      </w:tr>
      <w:tr w:rsidR="00487931" w:rsidRPr="00B867BE" w:rsidTr="00BE2773">
        <w:trPr>
          <w:tblCellSpacing w:w="15" w:type="dxa"/>
          <w:jc w:val="center"/>
        </w:trPr>
        <w:tc>
          <w:tcPr>
            <w:tcW w:w="0" w:type="auto"/>
            <w:shd w:val="clear" w:color="auto" w:fill="EAF5FF"/>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Gastos de Funcionamiento Neto (GF)</w:t>
            </w:r>
          </w:p>
          <w:tbl>
            <w:tblPr>
              <w:tblW w:w="8400" w:type="dxa"/>
              <w:jc w:val="center"/>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5"/>
              <w:gridCol w:w="4053"/>
              <w:gridCol w:w="2712"/>
            </w:tblGrid>
            <w:tr w:rsidR="00487931" w:rsidRPr="009E1BDB" w:rsidTr="00BE2773">
              <w:trPr>
                <w:gridAfter w:val="2"/>
                <w:wAfter w:w="5982" w:type="dxa"/>
                <w:tblCellSpacing w:w="6"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87931" w:rsidRPr="009E1BDB" w:rsidRDefault="00487931" w:rsidP="00BE2773">
                  <w:pPr>
                    <w:spacing w:before="0" w:after="0"/>
                    <w:rPr>
                      <w:rFonts w:eastAsia="Times New Roman"/>
                      <w:color w:val="auto"/>
                      <w:sz w:val="18"/>
                      <w:szCs w:val="18"/>
                    </w:rPr>
                  </w:pPr>
                </w:p>
              </w:tc>
            </w:tr>
            <w:tr w:rsidR="00487931" w:rsidRPr="009E1BDB" w:rsidTr="00BE2773">
              <w:trPr>
                <w:tblCellSpacing w:w="6" w:type="dxa"/>
                <w:jc w:val="center"/>
              </w:trPr>
              <w:tc>
                <w:tcPr>
                  <w:tcW w:w="1440" w:type="dxa"/>
                  <w:tcBorders>
                    <w:top w:val="outset" w:sz="6" w:space="0" w:color="auto"/>
                    <w:left w:val="outset" w:sz="6" w:space="0" w:color="auto"/>
                    <w:bottom w:val="outset" w:sz="6" w:space="0" w:color="auto"/>
                    <w:right w:val="outset" w:sz="6" w:space="0" w:color="auto"/>
                  </w:tcBorders>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Concepto</w:t>
                  </w:r>
                </w:p>
              </w:tc>
              <w:tc>
                <w:tcPr>
                  <w:tcW w:w="3600" w:type="dxa"/>
                  <w:tcBorders>
                    <w:top w:val="outset" w:sz="6" w:space="0" w:color="auto"/>
                    <w:left w:val="outset" w:sz="6" w:space="0" w:color="auto"/>
                    <w:bottom w:val="outset" w:sz="6" w:space="0" w:color="auto"/>
                    <w:right w:val="outset" w:sz="6" w:space="0" w:color="auto"/>
                  </w:tcBorders>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Descripción</w:t>
                  </w:r>
                </w:p>
              </w:tc>
              <w:tc>
                <w:tcPr>
                  <w:tcW w:w="2400" w:type="dxa"/>
                  <w:tcBorders>
                    <w:top w:val="outset" w:sz="6" w:space="0" w:color="auto"/>
                    <w:left w:val="outset" w:sz="6" w:space="0" w:color="auto"/>
                    <w:bottom w:val="outset" w:sz="6" w:space="0" w:color="auto"/>
                    <w:right w:val="outset" w:sz="6" w:space="0" w:color="auto"/>
                  </w:tcBorders>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Ejecución (Miles de Pesos)</w:t>
                  </w:r>
                </w:p>
              </w:tc>
            </w:tr>
            <w:tr w:rsidR="00487931" w:rsidRPr="009E1BDB" w:rsidTr="00BE2773">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487931" w:rsidP="00BE2773">
                  <w:pPr>
                    <w:spacing w:before="0" w:after="0"/>
                    <w:rPr>
                      <w:rFonts w:eastAsia="Times New Roman"/>
                      <w:color w:val="auto"/>
                      <w:sz w:val="18"/>
                      <w:szCs w:val="18"/>
                    </w:rPr>
                  </w:pPr>
                  <w:r w:rsidRPr="009E1BDB">
                    <w:rPr>
                      <w:rFonts w:eastAsia="Times New Roman"/>
                      <w:color w:val="auto"/>
                      <w:sz w:val="18"/>
                      <w:szCs w:val="18"/>
                    </w:rPr>
                    <w:t>2.1.01</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487931" w:rsidP="00BE2773">
                  <w:pPr>
                    <w:spacing w:before="0" w:after="0"/>
                    <w:rPr>
                      <w:rFonts w:eastAsia="Times New Roman"/>
                      <w:color w:val="auto"/>
                      <w:sz w:val="18"/>
                      <w:szCs w:val="18"/>
                    </w:rPr>
                  </w:pPr>
                  <w:r w:rsidRPr="009E1BDB">
                    <w:rPr>
                      <w:rFonts w:eastAsia="Times New Roman"/>
                      <w:color w:val="auto"/>
                      <w:sz w:val="18"/>
                      <w:szCs w:val="18"/>
                    </w:rPr>
                    <w:t>Gastos de Personal</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54739F" w:rsidP="00BE2773">
                  <w:pPr>
                    <w:spacing w:before="0" w:after="0"/>
                    <w:jc w:val="right"/>
                    <w:rPr>
                      <w:rFonts w:eastAsia="Times New Roman"/>
                      <w:color w:val="auto"/>
                      <w:sz w:val="18"/>
                      <w:szCs w:val="18"/>
                    </w:rPr>
                  </w:pPr>
                  <w:r>
                    <w:rPr>
                      <w:rFonts w:eastAsia="Times New Roman"/>
                      <w:color w:val="auto"/>
                      <w:sz w:val="18"/>
                      <w:szCs w:val="18"/>
                    </w:rPr>
                    <w:t>1.349.502</w:t>
                  </w:r>
                </w:p>
              </w:tc>
            </w:tr>
            <w:tr w:rsidR="00487931" w:rsidRPr="009E1BDB" w:rsidTr="00BE2773">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BE2773">
                  <w:pPr>
                    <w:spacing w:before="0" w:after="0"/>
                    <w:rPr>
                      <w:rFonts w:eastAsia="Times New Roman"/>
                      <w:color w:val="auto"/>
                      <w:sz w:val="18"/>
                      <w:szCs w:val="18"/>
                    </w:rPr>
                  </w:pPr>
                  <w:r w:rsidRPr="009E1BDB">
                    <w:rPr>
                      <w:rFonts w:eastAsia="Times New Roman"/>
                      <w:color w:val="auto"/>
                      <w:sz w:val="18"/>
                      <w:szCs w:val="18"/>
                    </w:rPr>
                    <w:t>2.1.02</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BE2773">
                  <w:pPr>
                    <w:spacing w:before="0" w:after="0"/>
                    <w:rPr>
                      <w:rFonts w:eastAsia="Times New Roman"/>
                      <w:color w:val="auto"/>
                      <w:sz w:val="18"/>
                      <w:szCs w:val="18"/>
                    </w:rPr>
                  </w:pPr>
                  <w:r w:rsidRPr="009E1BDB">
                    <w:rPr>
                      <w:rFonts w:eastAsia="Times New Roman"/>
                      <w:color w:val="auto"/>
                      <w:sz w:val="18"/>
                      <w:szCs w:val="18"/>
                    </w:rPr>
                    <w:t>Gastos Generales</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54739F" w:rsidP="0054739F">
                  <w:pPr>
                    <w:spacing w:before="0" w:after="0"/>
                    <w:jc w:val="right"/>
                    <w:rPr>
                      <w:rFonts w:eastAsia="Times New Roman"/>
                      <w:color w:val="auto"/>
                      <w:sz w:val="18"/>
                      <w:szCs w:val="18"/>
                    </w:rPr>
                  </w:pPr>
                  <w:r>
                    <w:rPr>
                      <w:rFonts w:eastAsia="Times New Roman"/>
                      <w:color w:val="auto"/>
                      <w:sz w:val="18"/>
                      <w:szCs w:val="18"/>
                    </w:rPr>
                    <w:t>574.616</w:t>
                  </w:r>
                </w:p>
              </w:tc>
            </w:tr>
            <w:tr w:rsidR="00487931" w:rsidRPr="009E1BDB" w:rsidTr="00BE2773">
              <w:trPr>
                <w:tblCellSpacing w:w="6"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487931" w:rsidP="00BE2773">
                  <w:pPr>
                    <w:spacing w:before="0" w:after="0"/>
                    <w:rPr>
                      <w:rFonts w:eastAsia="Times New Roman"/>
                      <w:color w:val="auto"/>
                      <w:sz w:val="18"/>
                      <w:szCs w:val="18"/>
                    </w:rPr>
                  </w:pPr>
                  <w:r w:rsidRPr="009E1BDB">
                    <w:rPr>
                      <w:rFonts w:eastAsia="Times New Roman"/>
                      <w:color w:val="auto"/>
                      <w:sz w:val="18"/>
                      <w:szCs w:val="18"/>
                    </w:rPr>
                    <w:t> </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Total Gastos Funcionamiento Neto</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54739F" w:rsidP="00BE2773">
                  <w:pPr>
                    <w:spacing w:before="0" w:after="0"/>
                    <w:jc w:val="right"/>
                    <w:rPr>
                      <w:rFonts w:eastAsia="Times New Roman"/>
                      <w:color w:val="auto"/>
                      <w:sz w:val="18"/>
                      <w:szCs w:val="18"/>
                    </w:rPr>
                  </w:pPr>
                  <w:r>
                    <w:rPr>
                      <w:rFonts w:eastAsia="Times New Roman"/>
                      <w:b/>
                      <w:bCs/>
                      <w:color w:val="auto"/>
                      <w:sz w:val="18"/>
                      <w:szCs w:val="18"/>
                    </w:rPr>
                    <w:t>1.924.118</w:t>
                  </w:r>
                </w:p>
              </w:tc>
            </w:tr>
          </w:tbl>
          <w:p w:rsidR="00487931" w:rsidRPr="009E1BDB" w:rsidRDefault="00487931" w:rsidP="00BE2773">
            <w:pPr>
              <w:spacing w:before="0" w:after="0"/>
              <w:jc w:val="center"/>
              <w:rPr>
                <w:rFonts w:eastAsia="Times New Roman"/>
                <w:color w:val="auto"/>
                <w:sz w:val="18"/>
                <w:szCs w:val="18"/>
              </w:rPr>
            </w:pPr>
          </w:p>
        </w:tc>
      </w:tr>
      <w:tr w:rsidR="00487931" w:rsidRPr="00B867BE" w:rsidTr="00BE2773">
        <w:trPr>
          <w:tblCellSpacing w:w="15" w:type="dxa"/>
          <w:jc w:val="center"/>
        </w:trPr>
        <w:tc>
          <w:tcPr>
            <w:tcW w:w="0" w:type="auto"/>
            <w:shd w:val="clear" w:color="auto" w:fill="EAF5FF"/>
            <w:vAlign w:val="center"/>
            <w:hideMark/>
          </w:tcPr>
          <w:tbl>
            <w:tblPr>
              <w:tblW w:w="8400"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29"/>
              <w:gridCol w:w="1171"/>
            </w:tblGrid>
            <w:tr w:rsidR="00487931" w:rsidRPr="009E1BDB" w:rsidTr="00BE2773">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487931" w:rsidP="00BE2773">
                  <w:pPr>
                    <w:spacing w:before="0" w:after="0"/>
                    <w:jc w:val="center"/>
                    <w:rPr>
                      <w:rFonts w:eastAsia="Times New Roman"/>
                      <w:color w:val="auto"/>
                      <w:sz w:val="18"/>
                      <w:szCs w:val="18"/>
                    </w:rPr>
                  </w:pPr>
                  <w:r w:rsidRPr="009E1BDB">
                    <w:rPr>
                      <w:rFonts w:eastAsia="Times New Roman"/>
                      <w:b/>
                      <w:bCs/>
                      <w:color w:val="auto"/>
                      <w:sz w:val="18"/>
                      <w:szCs w:val="18"/>
                    </w:rPr>
                    <w:t>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87CEEB"/>
                  <w:vAlign w:val="center"/>
                  <w:hideMark/>
                </w:tcPr>
                <w:p w:rsidR="00487931" w:rsidRPr="009E1BDB" w:rsidRDefault="00487931" w:rsidP="003F512B">
                  <w:pPr>
                    <w:spacing w:before="0" w:after="0"/>
                    <w:jc w:val="right"/>
                    <w:rPr>
                      <w:rFonts w:eastAsia="Times New Roman"/>
                      <w:color w:val="auto"/>
                      <w:sz w:val="18"/>
                      <w:szCs w:val="18"/>
                    </w:rPr>
                  </w:pPr>
                  <w:r w:rsidRPr="009E1BDB">
                    <w:rPr>
                      <w:rFonts w:eastAsia="Times New Roman"/>
                      <w:b/>
                      <w:bCs/>
                      <w:color w:val="auto"/>
                      <w:sz w:val="18"/>
                      <w:szCs w:val="18"/>
                    </w:rPr>
                    <w:t>6</w:t>
                  </w:r>
                  <w:r w:rsidR="003F512B">
                    <w:rPr>
                      <w:rFonts w:eastAsia="Times New Roman"/>
                      <w:b/>
                      <w:bCs/>
                      <w:color w:val="auto"/>
                      <w:sz w:val="18"/>
                      <w:szCs w:val="18"/>
                    </w:rPr>
                    <w:t>2,</w:t>
                  </w:r>
                  <w:r w:rsidRPr="009E1BDB">
                    <w:rPr>
                      <w:rFonts w:eastAsia="Times New Roman"/>
                      <w:b/>
                      <w:bCs/>
                      <w:color w:val="auto"/>
                      <w:sz w:val="18"/>
                      <w:szCs w:val="18"/>
                    </w:rPr>
                    <w:t>4</w:t>
                  </w:r>
                  <w:r w:rsidR="003F512B">
                    <w:rPr>
                      <w:rFonts w:eastAsia="Times New Roman"/>
                      <w:b/>
                      <w:bCs/>
                      <w:color w:val="auto"/>
                      <w:sz w:val="18"/>
                      <w:szCs w:val="18"/>
                    </w:rPr>
                    <w:t>5</w:t>
                  </w:r>
                  <w:r w:rsidRPr="009E1BDB">
                    <w:rPr>
                      <w:rFonts w:eastAsia="Times New Roman"/>
                      <w:b/>
                      <w:bCs/>
                      <w:color w:val="auto"/>
                      <w:sz w:val="18"/>
                      <w:szCs w:val="18"/>
                    </w:rPr>
                    <w:t>%</w:t>
                  </w:r>
                </w:p>
              </w:tc>
            </w:tr>
            <w:tr w:rsidR="00487931" w:rsidRPr="009E1BDB" w:rsidTr="00BE2773">
              <w:trPr>
                <w:tblCellSpacing w:w="0" w:type="dxa"/>
                <w:jc w:val="center"/>
              </w:trPr>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BE2773">
                  <w:pPr>
                    <w:spacing w:before="0" w:after="0"/>
                    <w:jc w:val="center"/>
                    <w:rPr>
                      <w:rFonts w:eastAsia="Times New Roman"/>
                      <w:color w:val="auto"/>
                      <w:sz w:val="18"/>
                      <w:szCs w:val="18"/>
                    </w:rPr>
                  </w:pPr>
                  <w:proofErr w:type="spellStart"/>
                  <w:r w:rsidRPr="009E1BDB">
                    <w:rPr>
                      <w:rFonts w:eastAsia="Times New Roman"/>
                      <w:b/>
                      <w:bCs/>
                      <w:color w:val="auto"/>
                      <w:sz w:val="18"/>
                      <w:szCs w:val="18"/>
                    </w:rPr>
                    <w:t>Limte</w:t>
                  </w:r>
                  <w:proofErr w:type="spellEnd"/>
                  <w:r w:rsidRPr="009E1BDB">
                    <w:rPr>
                      <w:rFonts w:eastAsia="Times New Roman"/>
                      <w:b/>
                      <w:bCs/>
                      <w:color w:val="auto"/>
                      <w:sz w:val="18"/>
                      <w:szCs w:val="18"/>
                    </w:rPr>
                    <w:t xml:space="preserve"> del Gasto ( - ) Indicador Ley 617/00 (GF/ICLD)</w:t>
                  </w:r>
                </w:p>
              </w:tc>
              <w:tc>
                <w:tcPr>
                  <w:tcW w:w="0" w:type="auto"/>
                  <w:tcBorders>
                    <w:top w:val="threeDEngrave" w:sz="6" w:space="0" w:color="FFFFFF"/>
                    <w:left w:val="threeDEngrave" w:sz="6" w:space="0" w:color="FFFFFF"/>
                    <w:bottom w:val="threeDEngrave" w:sz="6" w:space="0" w:color="FFFFFF"/>
                    <w:right w:val="threeDEngrave" w:sz="6" w:space="0" w:color="FFFFFF"/>
                  </w:tcBorders>
                  <w:shd w:val="clear" w:color="auto" w:fill="ADD8E6"/>
                  <w:vAlign w:val="center"/>
                  <w:hideMark/>
                </w:tcPr>
                <w:p w:rsidR="00487931" w:rsidRPr="009E1BDB" w:rsidRDefault="00487931" w:rsidP="003F512B">
                  <w:pPr>
                    <w:spacing w:before="0" w:after="0"/>
                    <w:jc w:val="right"/>
                    <w:rPr>
                      <w:rFonts w:eastAsia="Times New Roman"/>
                      <w:color w:val="auto"/>
                      <w:sz w:val="18"/>
                      <w:szCs w:val="18"/>
                    </w:rPr>
                  </w:pPr>
                  <w:r w:rsidRPr="009E1BDB">
                    <w:rPr>
                      <w:rFonts w:eastAsia="Times New Roman"/>
                      <w:b/>
                      <w:bCs/>
                      <w:color w:val="auto"/>
                      <w:sz w:val="18"/>
                      <w:szCs w:val="18"/>
                    </w:rPr>
                    <w:t>3</w:t>
                  </w:r>
                  <w:r w:rsidR="003F512B">
                    <w:rPr>
                      <w:rFonts w:eastAsia="Times New Roman"/>
                      <w:b/>
                      <w:bCs/>
                      <w:color w:val="auto"/>
                      <w:sz w:val="18"/>
                      <w:szCs w:val="18"/>
                    </w:rPr>
                    <w:t>7.54</w:t>
                  </w:r>
                  <w:r w:rsidRPr="009E1BDB">
                    <w:rPr>
                      <w:rFonts w:eastAsia="Times New Roman"/>
                      <w:b/>
                      <w:bCs/>
                      <w:color w:val="auto"/>
                      <w:sz w:val="18"/>
                      <w:szCs w:val="18"/>
                    </w:rPr>
                    <w:t>%</w:t>
                  </w:r>
                </w:p>
              </w:tc>
            </w:tr>
          </w:tbl>
          <w:p w:rsidR="00487931" w:rsidRPr="009E1BDB" w:rsidRDefault="00487931" w:rsidP="00BE2773">
            <w:pPr>
              <w:spacing w:before="0" w:after="0"/>
              <w:jc w:val="center"/>
              <w:rPr>
                <w:rFonts w:eastAsia="Times New Roman"/>
                <w:color w:val="auto"/>
                <w:sz w:val="18"/>
                <w:szCs w:val="18"/>
              </w:rPr>
            </w:pPr>
          </w:p>
        </w:tc>
      </w:tr>
    </w:tbl>
    <w:p w:rsidR="00487931" w:rsidRDefault="00487931" w:rsidP="00AC2164">
      <w:pPr>
        <w:pStyle w:val="Ttulo2"/>
        <w:jc w:val="both"/>
        <w:rPr>
          <w:rFonts w:ascii="Tahoma" w:hAnsi="Tahoma" w:cs="Tahoma"/>
          <w:b w:val="0"/>
          <w:sz w:val="22"/>
          <w:lang w:val="es-CO"/>
        </w:rPr>
      </w:pPr>
    </w:p>
    <w:p w:rsidR="004B7B3F" w:rsidRPr="00776215" w:rsidRDefault="00E15E67" w:rsidP="004B7B3F">
      <w:pPr>
        <w:spacing w:before="0" w:after="0"/>
        <w:jc w:val="both"/>
        <w:rPr>
          <w:rFonts w:ascii="Tahoma" w:eastAsia="Times New Roman" w:hAnsi="Tahoma" w:cs="Tahoma"/>
          <w:b/>
          <w:bCs/>
          <w:color w:val="auto"/>
        </w:rPr>
      </w:pPr>
      <w:r w:rsidRPr="00776215">
        <w:rPr>
          <w:rFonts w:ascii="Tahoma" w:eastAsia="Times New Roman" w:hAnsi="Tahoma" w:cs="Tahoma"/>
          <w:b/>
          <w:bCs/>
          <w:color w:val="auto"/>
        </w:rPr>
        <w:t xml:space="preserve">GASTOS DE LAS CORPORACIONES </w:t>
      </w:r>
      <w:r w:rsidR="005F4A02" w:rsidRPr="00776215">
        <w:rPr>
          <w:rFonts w:ascii="Tahoma" w:eastAsia="Times New Roman" w:hAnsi="Tahoma" w:cs="Tahoma"/>
          <w:b/>
          <w:bCs/>
          <w:color w:val="auto"/>
        </w:rPr>
        <w:t>PÚBLICAS</w:t>
      </w:r>
      <w:r w:rsidRPr="00776215">
        <w:rPr>
          <w:rFonts w:ascii="Tahoma" w:eastAsia="Times New Roman" w:hAnsi="Tahoma" w:cs="Tahoma"/>
          <w:b/>
          <w:bCs/>
          <w:color w:val="auto"/>
        </w:rPr>
        <w:t xml:space="preserve"> – CONCEJO MUNICIPAL</w:t>
      </w:r>
    </w:p>
    <w:p w:rsidR="00E15E67" w:rsidRPr="00776215" w:rsidRDefault="00E15E67" w:rsidP="004B7B3F">
      <w:pPr>
        <w:spacing w:before="0" w:after="0"/>
        <w:jc w:val="both"/>
        <w:rPr>
          <w:rFonts w:ascii="Tahoma" w:eastAsia="Times New Roman" w:hAnsi="Tahoma" w:cs="Tahoma"/>
          <w:b/>
          <w:bCs/>
          <w:color w:val="auto"/>
        </w:rPr>
      </w:pPr>
    </w:p>
    <w:p w:rsidR="00E15E67" w:rsidRDefault="00E15E67" w:rsidP="004B7B3F">
      <w:pPr>
        <w:spacing w:before="0" w:after="0"/>
        <w:jc w:val="both"/>
        <w:rPr>
          <w:rFonts w:ascii="Tahoma" w:hAnsi="Tahoma" w:cs="Tahoma"/>
        </w:rPr>
      </w:pPr>
      <w:r w:rsidRPr="00A66750">
        <w:rPr>
          <w:rFonts w:ascii="Tahoma" w:eastAsia="Times New Roman" w:hAnsi="Tahoma" w:cs="Tahoma"/>
          <w:bCs/>
          <w:color w:val="auto"/>
        </w:rPr>
        <w:t xml:space="preserve">El </w:t>
      </w:r>
      <w:r w:rsidR="00C86CA5">
        <w:rPr>
          <w:rFonts w:ascii="Tahoma" w:eastAsia="Times New Roman" w:hAnsi="Tahoma" w:cs="Tahoma"/>
          <w:bCs/>
          <w:color w:val="auto"/>
        </w:rPr>
        <w:t>ente Territorial</w:t>
      </w:r>
      <w:r w:rsidRPr="00A66750">
        <w:rPr>
          <w:rFonts w:ascii="Tahoma" w:eastAsia="Times New Roman" w:hAnsi="Tahoma" w:cs="Tahoma"/>
          <w:bCs/>
          <w:color w:val="auto"/>
        </w:rPr>
        <w:t xml:space="preserve"> para la vigencia 2015, le transfirió al Concejo Municipal la suma de $</w:t>
      </w:r>
      <w:r w:rsidR="00487931">
        <w:rPr>
          <w:rFonts w:ascii="Tahoma" w:eastAsia="Times New Roman" w:hAnsi="Tahoma" w:cs="Tahoma"/>
          <w:bCs/>
          <w:color w:val="auto"/>
        </w:rPr>
        <w:t>129</w:t>
      </w:r>
      <w:r w:rsidR="00EE23CA" w:rsidRPr="00EE23CA">
        <w:rPr>
          <w:rFonts w:ascii="Tahoma" w:hAnsi="Tahoma" w:cs="Tahoma"/>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de los cuales $1</w:t>
      </w:r>
      <w:r w:rsidR="00487931">
        <w:rPr>
          <w:rFonts w:ascii="Tahoma" w:eastAsia="Times New Roman" w:hAnsi="Tahoma" w:cs="Tahoma"/>
          <w:bCs/>
          <w:color w:val="auto"/>
        </w:rPr>
        <w:t>0</w:t>
      </w:r>
      <w:r w:rsidR="00F33B1A">
        <w:rPr>
          <w:rFonts w:ascii="Tahoma" w:eastAsia="Times New Roman" w:hAnsi="Tahoma" w:cs="Tahoma"/>
          <w:bCs/>
          <w:color w:val="auto"/>
        </w:rPr>
        <w:t>1</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correspondieron a honorarios de Concejales y $</w:t>
      </w:r>
      <w:r w:rsidR="00487931">
        <w:rPr>
          <w:rFonts w:ascii="Tahoma" w:eastAsia="Times New Roman" w:hAnsi="Tahoma" w:cs="Tahoma"/>
          <w:bCs/>
          <w:color w:val="auto"/>
        </w:rPr>
        <w:t>2</w:t>
      </w:r>
      <w:r w:rsidR="00F33B1A">
        <w:rPr>
          <w:rFonts w:ascii="Tahoma" w:eastAsia="Times New Roman" w:hAnsi="Tahoma" w:cs="Tahoma"/>
          <w:bCs/>
          <w:color w:val="auto"/>
        </w:rPr>
        <w:t>7</w:t>
      </w:r>
      <w:r w:rsidR="00EE23CA">
        <w:rPr>
          <w:rFonts w:ascii="Tahoma" w:eastAsia="Times New Roman" w:hAnsi="Tahoma" w:cs="Tahoma"/>
          <w:bCs/>
          <w:color w:val="auto"/>
        </w:rPr>
        <w:t xml:space="preserve"> </w:t>
      </w:r>
      <w:r w:rsidR="00EE23CA">
        <w:rPr>
          <w:rFonts w:ascii="Tahoma" w:hAnsi="Tahoma" w:cs="Tahoma"/>
          <w:color w:val="auto"/>
        </w:rPr>
        <w:t>millones</w:t>
      </w:r>
      <w:r w:rsidR="005F4A02" w:rsidRPr="00A66750">
        <w:rPr>
          <w:rFonts w:ascii="Tahoma" w:eastAsia="Times New Roman" w:hAnsi="Tahoma" w:cs="Tahoma"/>
          <w:bCs/>
          <w:color w:val="auto"/>
        </w:rPr>
        <w:t xml:space="preserve"> para gastos de funcionamiento</w:t>
      </w:r>
      <w:r w:rsidR="007B5621" w:rsidRPr="00A66750">
        <w:rPr>
          <w:rFonts w:ascii="Tahoma" w:eastAsia="Times New Roman" w:hAnsi="Tahoma" w:cs="Tahoma"/>
          <w:bCs/>
          <w:color w:val="auto"/>
        </w:rPr>
        <w:t xml:space="preserve">, con ello </w:t>
      </w:r>
      <w:r w:rsidR="001B475A">
        <w:rPr>
          <w:rFonts w:ascii="Tahoma" w:eastAsia="Times New Roman" w:hAnsi="Tahoma" w:cs="Tahoma"/>
          <w:bCs/>
          <w:color w:val="auto"/>
        </w:rPr>
        <w:t xml:space="preserve">el Municipio de </w:t>
      </w:r>
      <w:r w:rsidR="005C59D9">
        <w:rPr>
          <w:rFonts w:ascii="Tahoma" w:hAnsi="Tahoma" w:cs="Tahoma"/>
        </w:rPr>
        <w:t>Anzoátegui</w:t>
      </w:r>
      <w:r w:rsidR="0078344D">
        <w:rPr>
          <w:rFonts w:ascii="Tahoma" w:eastAsia="Times New Roman" w:hAnsi="Tahoma" w:cs="Tahoma"/>
          <w:bCs/>
          <w:color w:val="auto"/>
        </w:rPr>
        <w:t xml:space="preserve"> </w:t>
      </w:r>
      <w:r w:rsidR="00640913" w:rsidRPr="00214DD0">
        <w:rPr>
          <w:rFonts w:ascii="Tahoma" w:eastAsia="Times New Roman" w:hAnsi="Tahoma" w:cs="Tahoma"/>
          <w:b/>
          <w:bCs/>
          <w:color w:val="auto"/>
          <w:u w:val="single"/>
        </w:rPr>
        <w:t>d</w:t>
      </w:r>
      <w:r w:rsidR="001B475A" w:rsidRPr="00214DD0">
        <w:rPr>
          <w:rFonts w:ascii="Tahoma" w:eastAsia="Times New Roman" w:hAnsi="Tahoma" w:cs="Tahoma"/>
          <w:b/>
          <w:bCs/>
          <w:color w:val="auto"/>
          <w:u w:val="single"/>
        </w:rPr>
        <w:t>io</w:t>
      </w:r>
      <w:r w:rsidR="00640913" w:rsidRPr="00214DD0">
        <w:rPr>
          <w:rFonts w:ascii="Tahoma" w:eastAsia="Times New Roman" w:hAnsi="Tahoma" w:cs="Tahoma"/>
          <w:b/>
          <w:bCs/>
          <w:color w:val="auto"/>
          <w:u w:val="single"/>
        </w:rPr>
        <w:t xml:space="preserve"> </w:t>
      </w:r>
      <w:r w:rsidR="00640913" w:rsidRPr="00214DD0">
        <w:rPr>
          <w:rFonts w:ascii="Tahoma" w:hAnsi="Tahoma" w:cs="Tahoma"/>
          <w:b/>
          <w:u w:val="single"/>
        </w:rPr>
        <w:t>cumplimiento</w:t>
      </w:r>
      <w:r w:rsidR="00640913" w:rsidRPr="00214DD0">
        <w:rPr>
          <w:rFonts w:ascii="Tahoma" w:hAnsi="Tahoma" w:cs="Tahoma"/>
          <w:u w:val="single"/>
        </w:rPr>
        <w:t xml:space="preserve"> </w:t>
      </w:r>
      <w:r w:rsidR="00640913" w:rsidRPr="00A66750">
        <w:rPr>
          <w:rFonts w:ascii="Tahoma" w:hAnsi="Tahoma" w:cs="Tahoma"/>
        </w:rPr>
        <w:t>a lo establec</w:t>
      </w:r>
      <w:r w:rsidR="00A66750" w:rsidRPr="00A66750">
        <w:rPr>
          <w:rFonts w:ascii="Tahoma" w:hAnsi="Tahoma" w:cs="Tahoma"/>
        </w:rPr>
        <w:t xml:space="preserve">ido en </w:t>
      </w:r>
      <w:r w:rsidR="00640913" w:rsidRPr="00A66750">
        <w:rPr>
          <w:rFonts w:ascii="Tahoma" w:hAnsi="Tahoma" w:cs="Tahoma"/>
        </w:rPr>
        <w:t>la Ley 617 de</w:t>
      </w:r>
      <w:r w:rsidR="00C86CA5">
        <w:rPr>
          <w:rFonts w:ascii="Tahoma" w:hAnsi="Tahoma" w:cs="Tahoma"/>
        </w:rPr>
        <w:t xml:space="preserve"> 2000 artículo 10,</w:t>
      </w:r>
      <w:r w:rsidR="005172FE">
        <w:rPr>
          <w:rFonts w:ascii="Tahoma" w:hAnsi="Tahoma" w:cs="Tahoma"/>
        </w:rPr>
        <w:t xml:space="preserve"> que en lo pertinente dice: “Durante cada vigencia fiscal, los gastos de los Concejos no podrán superar el valor correspondiente al total de los honorarios que se causen por el número de sesiones autorizado en el artículo 20 de esta ley más el uno punto cinco por ciento (1.5%) de los ingresos corrientes de libre destinación”.</w:t>
      </w:r>
      <w:r w:rsidR="00763FDB">
        <w:rPr>
          <w:rFonts w:ascii="Tahoma" w:hAnsi="Tahoma" w:cs="Tahoma"/>
        </w:rPr>
        <w:t xml:space="preserve"> Es decir, </w:t>
      </w:r>
      <w:r w:rsidR="001B475A">
        <w:rPr>
          <w:rFonts w:ascii="Tahoma" w:hAnsi="Tahoma" w:cs="Tahoma"/>
        </w:rPr>
        <w:t>l</w:t>
      </w:r>
      <w:r w:rsidR="00763FDB">
        <w:rPr>
          <w:rFonts w:ascii="Tahoma" w:hAnsi="Tahoma" w:cs="Tahoma"/>
        </w:rPr>
        <w:t>a suma de $</w:t>
      </w:r>
      <w:r w:rsidR="00F33B1A">
        <w:rPr>
          <w:rFonts w:ascii="Tahoma" w:hAnsi="Tahoma" w:cs="Tahoma"/>
        </w:rPr>
        <w:t>4</w:t>
      </w:r>
      <w:r w:rsidR="00214DD0">
        <w:rPr>
          <w:rFonts w:ascii="Tahoma" w:hAnsi="Tahoma" w:cs="Tahoma"/>
        </w:rPr>
        <w:t>6.2</w:t>
      </w:r>
      <w:r w:rsidR="00F33B1A">
        <w:rPr>
          <w:rFonts w:ascii="Tahoma" w:hAnsi="Tahoma" w:cs="Tahoma"/>
        </w:rPr>
        <w:t>1</w:t>
      </w:r>
      <w:r w:rsidR="00214DD0">
        <w:rPr>
          <w:rFonts w:ascii="Tahoma" w:hAnsi="Tahoma" w:cs="Tahoma"/>
        </w:rPr>
        <w:t>0.</w:t>
      </w:r>
      <w:r w:rsidR="00F33B1A">
        <w:rPr>
          <w:rFonts w:ascii="Tahoma" w:hAnsi="Tahoma" w:cs="Tahoma"/>
        </w:rPr>
        <w:t>194</w:t>
      </w:r>
      <w:r w:rsidR="00763FDB">
        <w:rPr>
          <w:rFonts w:ascii="Tahoma" w:hAnsi="Tahoma" w:cs="Tahoma"/>
        </w:rPr>
        <w:t>.oo</w:t>
      </w:r>
      <w:r w:rsidR="005172FE">
        <w:rPr>
          <w:rFonts w:ascii="Tahoma" w:hAnsi="Tahoma" w:cs="Tahoma"/>
        </w:rPr>
        <w:t xml:space="preserve"> </w:t>
      </w:r>
    </w:p>
    <w:p w:rsidR="00763FDB" w:rsidRDefault="00763FDB" w:rsidP="004B7B3F">
      <w:pPr>
        <w:spacing w:before="0" w:after="0"/>
        <w:jc w:val="both"/>
        <w:rPr>
          <w:rFonts w:ascii="Tahoma" w:hAnsi="Tahoma" w:cs="Tahoma"/>
        </w:rPr>
      </w:pPr>
    </w:p>
    <w:p w:rsidR="00231ECA" w:rsidRDefault="00F33B1A" w:rsidP="004B7B3F">
      <w:pPr>
        <w:spacing w:before="0" w:after="0"/>
        <w:jc w:val="both"/>
        <w:rPr>
          <w:rFonts w:eastAsia="Times New Roman"/>
          <w:b/>
          <w:bCs/>
          <w:color w:val="auto"/>
          <w:sz w:val="20"/>
          <w:szCs w:val="20"/>
        </w:rPr>
      </w:pPr>
      <w:r w:rsidRPr="00F33B1A">
        <w:rPr>
          <w:noProof/>
        </w:rPr>
        <w:drawing>
          <wp:inline distT="0" distB="0" distL="0" distR="0" wp14:anchorId="2080105C" wp14:editId="6C005B0F">
            <wp:extent cx="5615940" cy="1021080"/>
            <wp:effectExtent l="0" t="0" r="3810" b="762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612130" cy="1020387"/>
                    </a:xfrm>
                    <a:prstGeom prst="rect">
                      <a:avLst/>
                    </a:prstGeom>
                  </pic:spPr>
                </pic:pic>
              </a:graphicData>
            </a:graphic>
          </wp:inline>
        </w:drawing>
      </w:r>
    </w:p>
    <w:p w:rsidR="00231ECA" w:rsidRDefault="00231ECA" w:rsidP="004B7B3F">
      <w:pPr>
        <w:spacing w:before="0" w:after="0"/>
        <w:jc w:val="both"/>
        <w:rPr>
          <w:rFonts w:eastAsia="Times New Roman"/>
          <w:b/>
          <w:bCs/>
          <w:color w:val="auto"/>
          <w:sz w:val="20"/>
          <w:szCs w:val="20"/>
        </w:rPr>
      </w:pPr>
    </w:p>
    <w:p w:rsidR="009F248B" w:rsidRPr="00CA76CA" w:rsidRDefault="009F248B" w:rsidP="004B7B3F">
      <w:pPr>
        <w:spacing w:before="0" w:after="0"/>
        <w:jc w:val="both"/>
        <w:rPr>
          <w:rFonts w:ascii="Tahoma" w:eastAsia="Times New Roman" w:hAnsi="Tahoma" w:cs="Tahoma"/>
          <w:b/>
          <w:bCs/>
          <w:color w:val="auto"/>
        </w:rPr>
      </w:pPr>
      <w:r w:rsidRPr="00CA76CA">
        <w:rPr>
          <w:rFonts w:ascii="Tahoma" w:eastAsia="Times New Roman" w:hAnsi="Tahoma" w:cs="Tahoma"/>
          <w:b/>
          <w:bCs/>
          <w:color w:val="auto"/>
        </w:rPr>
        <w:t>GASTOS DE LAS PERSONERIAS</w:t>
      </w:r>
    </w:p>
    <w:p w:rsidR="009F248B" w:rsidRPr="00CA76CA" w:rsidRDefault="009F248B" w:rsidP="004B7B3F">
      <w:pPr>
        <w:spacing w:before="0" w:after="0"/>
        <w:jc w:val="both"/>
        <w:rPr>
          <w:rFonts w:ascii="Tahoma" w:eastAsia="Times New Roman" w:hAnsi="Tahoma" w:cs="Tahoma"/>
          <w:bCs/>
          <w:color w:val="auto"/>
        </w:rPr>
      </w:pPr>
    </w:p>
    <w:p w:rsidR="00D34898" w:rsidRPr="00CA76CA" w:rsidRDefault="00A05F58"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La ley 617 de 2000, en su artículo 10, establece el valor máximo  de los gastos de funcionamiento para las Personerías Municipales</w:t>
      </w:r>
      <w:r w:rsidR="008C73D6" w:rsidRPr="00CA76CA">
        <w:rPr>
          <w:rFonts w:ascii="Tahoma" w:eastAsia="Times New Roman" w:hAnsi="Tahoma" w:cs="Tahoma"/>
          <w:bCs/>
          <w:color w:val="auto"/>
        </w:rPr>
        <w:t xml:space="preserve"> de acuer</w:t>
      </w:r>
      <w:r w:rsidR="004E1489">
        <w:rPr>
          <w:rFonts w:ascii="Tahoma" w:eastAsia="Times New Roman" w:hAnsi="Tahoma" w:cs="Tahoma"/>
          <w:bCs/>
          <w:color w:val="auto"/>
        </w:rPr>
        <w:t>do a la categoría del Municipio. El M</w:t>
      </w:r>
      <w:r w:rsidR="008C73D6" w:rsidRPr="00CA76CA">
        <w:rPr>
          <w:rFonts w:ascii="Tahoma" w:eastAsia="Times New Roman" w:hAnsi="Tahoma" w:cs="Tahoma"/>
          <w:bCs/>
          <w:color w:val="auto"/>
        </w:rPr>
        <w:t xml:space="preserve">unicipio de </w:t>
      </w:r>
      <w:r w:rsidR="002B7EA5">
        <w:rPr>
          <w:rFonts w:ascii="Tahoma" w:eastAsia="Times New Roman" w:hAnsi="Tahoma" w:cs="Tahoma"/>
          <w:bCs/>
          <w:color w:val="auto"/>
        </w:rPr>
        <w:t>Anzoátegui</w:t>
      </w:r>
      <w:r w:rsidR="008C73D6" w:rsidRPr="00CA76CA">
        <w:rPr>
          <w:rFonts w:ascii="Tahoma" w:eastAsia="Times New Roman" w:hAnsi="Tahoma" w:cs="Tahoma"/>
          <w:bCs/>
          <w:color w:val="auto"/>
        </w:rPr>
        <w:t xml:space="preserve"> </w:t>
      </w:r>
      <w:r w:rsidR="00D34898" w:rsidRPr="00CA76CA">
        <w:rPr>
          <w:rFonts w:ascii="Tahoma" w:eastAsia="Times New Roman" w:hAnsi="Tahoma" w:cs="Tahoma"/>
          <w:bCs/>
          <w:color w:val="auto"/>
        </w:rPr>
        <w:t xml:space="preserve">se encuentra clasificado en Sexta Categoría, los gastos </w:t>
      </w:r>
      <w:r w:rsidR="004E1489">
        <w:rPr>
          <w:rFonts w:ascii="Tahoma" w:eastAsia="Times New Roman" w:hAnsi="Tahoma" w:cs="Tahoma"/>
          <w:bCs/>
          <w:color w:val="auto"/>
        </w:rPr>
        <w:t>de la personería no podrá</w:t>
      </w:r>
      <w:r w:rsidR="00D34898" w:rsidRPr="00CA76CA">
        <w:rPr>
          <w:rFonts w:ascii="Tahoma" w:eastAsia="Times New Roman" w:hAnsi="Tahoma" w:cs="Tahoma"/>
          <w:bCs/>
          <w:color w:val="auto"/>
        </w:rPr>
        <w:t xml:space="preserve"> superar los 150 SMMV, es decir, para la vigencia 2015 la suma de $96.652.500.oo</w:t>
      </w:r>
    </w:p>
    <w:p w:rsidR="00D34898" w:rsidRPr="00CA76CA" w:rsidRDefault="00D34898" w:rsidP="004B7B3F">
      <w:pPr>
        <w:spacing w:before="0" w:after="0"/>
        <w:jc w:val="both"/>
        <w:rPr>
          <w:rFonts w:ascii="Tahoma" w:eastAsia="Times New Roman" w:hAnsi="Tahoma" w:cs="Tahoma"/>
          <w:bCs/>
          <w:color w:val="auto"/>
        </w:rPr>
      </w:pPr>
    </w:p>
    <w:p w:rsidR="00F344D5" w:rsidRPr="00CA76CA" w:rsidRDefault="00F344D5" w:rsidP="004B7B3F">
      <w:pPr>
        <w:spacing w:before="0" w:after="0"/>
        <w:jc w:val="both"/>
        <w:rPr>
          <w:rFonts w:ascii="Tahoma" w:eastAsia="Times New Roman" w:hAnsi="Tahoma" w:cs="Tahoma"/>
          <w:bCs/>
          <w:color w:val="auto"/>
        </w:rPr>
      </w:pPr>
      <w:r w:rsidRPr="00CA76CA">
        <w:rPr>
          <w:rFonts w:ascii="Tahoma" w:eastAsia="Times New Roman" w:hAnsi="Tahoma" w:cs="Tahoma"/>
          <w:bCs/>
          <w:color w:val="auto"/>
        </w:rPr>
        <w:t>Por</w:t>
      </w:r>
      <w:r w:rsidR="00D34898" w:rsidRPr="00CA76CA">
        <w:rPr>
          <w:rFonts w:ascii="Tahoma" w:eastAsia="Times New Roman" w:hAnsi="Tahoma" w:cs="Tahoma"/>
          <w:bCs/>
          <w:color w:val="auto"/>
        </w:rPr>
        <w:t xml:space="preserve"> lo anterior, se observó que la entidad Territorial, </w:t>
      </w:r>
      <w:r w:rsidRPr="00CA76CA">
        <w:rPr>
          <w:rFonts w:ascii="Tahoma" w:eastAsia="Times New Roman" w:hAnsi="Tahoma" w:cs="Tahoma"/>
          <w:bCs/>
          <w:color w:val="auto"/>
        </w:rPr>
        <w:t xml:space="preserve">cumplió con lo Establecido en la ley 617 de 2000, toda vez que le transfirió </w:t>
      </w:r>
      <w:r w:rsidR="00425FF4" w:rsidRPr="00CA76CA">
        <w:rPr>
          <w:rFonts w:ascii="Tahoma" w:eastAsia="Times New Roman" w:hAnsi="Tahoma" w:cs="Tahoma"/>
          <w:bCs/>
          <w:color w:val="auto"/>
        </w:rPr>
        <w:t xml:space="preserve">inicialmente </w:t>
      </w:r>
      <w:r w:rsidRPr="00CA76CA">
        <w:rPr>
          <w:rFonts w:ascii="Tahoma" w:eastAsia="Times New Roman" w:hAnsi="Tahoma" w:cs="Tahoma"/>
          <w:bCs/>
          <w:color w:val="auto"/>
        </w:rPr>
        <w:t xml:space="preserve">a la personería Municipal la suma de </w:t>
      </w:r>
      <w:r w:rsidR="00425FF4" w:rsidRPr="00CA76CA">
        <w:rPr>
          <w:rFonts w:ascii="Tahoma" w:eastAsia="Times New Roman" w:hAnsi="Tahoma" w:cs="Tahoma"/>
          <w:bCs/>
          <w:color w:val="auto"/>
        </w:rPr>
        <w:t>$9</w:t>
      </w:r>
      <w:r w:rsidR="002A128C">
        <w:rPr>
          <w:rFonts w:ascii="Tahoma" w:eastAsia="Times New Roman" w:hAnsi="Tahoma" w:cs="Tahoma"/>
          <w:bCs/>
          <w:color w:val="auto"/>
        </w:rPr>
        <w:t>2</w:t>
      </w:r>
      <w:r w:rsidR="00425FF4" w:rsidRPr="00CA76CA">
        <w:rPr>
          <w:rFonts w:ascii="Tahoma" w:eastAsia="Times New Roman" w:hAnsi="Tahoma" w:cs="Tahoma"/>
          <w:bCs/>
          <w:color w:val="auto"/>
        </w:rPr>
        <w:t xml:space="preserve"> millones y presentó adiciones presupuestales en la suma de $</w:t>
      </w:r>
      <w:r w:rsidR="00FD777A">
        <w:rPr>
          <w:rFonts w:ascii="Tahoma" w:eastAsia="Times New Roman" w:hAnsi="Tahoma" w:cs="Tahoma"/>
          <w:bCs/>
          <w:color w:val="auto"/>
        </w:rPr>
        <w:t>4</w:t>
      </w:r>
      <w:r w:rsidR="00B401FB">
        <w:rPr>
          <w:rFonts w:ascii="Tahoma" w:eastAsia="Times New Roman" w:hAnsi="Tahoma" w:cs="Tahoma"/>
          <w:bCs/>
          <w:color w:val="auto"/>
        </w:rPr>
        <w:t xml:space="preserve"> </w:t>
      </w:r>
      <w:r w:rsidR="00425FF4" w:rsidRPr="00CA76CA">
        <w:rPr>
          <w:rFonts w:ascii="Tahoma" w:eastAsia="Times New Roman" w:hAnsi="Tahoma" w:cs="Tahoma"/>
          <w:bCs/>
          <w:color w:val="auto"/>
        </w:rPr>
        <w:t xml:space="preserve">millones para un presupuesto definitivo de </w:t>
      </w:r>
      <w:r w:rsidRPr="00CA76CA">
        <w:rPr>
          <w:rFonts w:ascii="Tahoma" w:eastAsia="Times New Roman" w:hAnsi="Tahoma" w:cs="Tahoma"/>
          <w:bCs/>
          <w:color w:val="auto"/>
        </w:rPr>
        <w:t>$</w:t>
      </w:r>
      <w:r w:rsidR="00D34898" w:rsidRPr="00CA76CA">
        <w:rPr>
          <w:rFonts w:ascii="Tahoma" w:eastAsia="Times New Roman" w:hAnsi="Tahoma" w:cs="Tahoma"/>
          <w:bCs/>
          <w:color w:val="auto"/>
        </w:rPr>
        <w:t>96</w:t>
      </w:r>
      <w:r w:rsidR="00425FF4" w:rsidRPr="00CA76CA">
        <w:rPr>
          <w:rFonts w:ascii="Tahoma" w:eastAsia="Times New Roman" w:hAnsi="Tahoma" w:cs="Tahoma"/>
          <w:bCs/>
          <w:color w:val="auto"/>
        </w:rPr>
        <w:t xml:space="preserve"> millones</w:t>
      </w:r>
      <w:r w:rsidRPr="00CA76CA">
        <w:rPr>
          <w:rFonts w:ascii="Tahoma" w:eastAsia="Times New Roman" w:hAnsi="Tahoma" w:cs="Tahoma"/>
          <w:bCs/>
          <w:color w:val="auto"/>
        </w:rPr>
        <w:t xml:space="preserve">,  equivalentes a </w:t>
      </w:r>
      <w:r w:rsidR="00D34898" w:rsidRPr="00CA76CA">
        <w:rPr>
          <w:rFonts w:ascii="Tahoma" w:eastAsia="Times New Roman" w:hAnsi="Tahoma" w:cs="Tahoma"/>
          <w:bCs/>
          <w:color w:val="auto"/>
        </w:rPr>
        <w:t>150</w:t>
      </w:r>
      <w:r w:rsidRPr="00CA76CA">
        <w:rPr>
          <w:rFonts w:ascii="Tahoma" w:eastAsia="Times New Roman" w:hAnsi="Tahoma" w:cs="Tahoma"/>
          <w:bCs/>
          <w:color w:val="auto"/>
        </w:rPr>
        <w:t xml:space="preserve"> SM</w:t>
      </w:r>
      <w:r w:rsidR="00D34898" w:rsidRPr="00CA76CA">
        <w:rPr>
          <w:rFonts w:ascii="Tahoma" w:eastAsia="Times New Roman" w:hAnsi="Tahoma" w:cs="Tahoma"/>
          <w:bCs/>
          <w:color w:val="auto"/>
        </w:rPr>
        <w:t>M</w:t>
      </w:r>
      <w:r w:rsidR="00425FF4" w:rsidRPr="00CA76CA">
        <w:rPr>
          <w:rFonts w:ascii="Tahoma" w:eastAsia="Times New Roman" w:hAnsi="Tahoma" w:cs="Tahoma"/>
          <w:bCs/>
          <w:color w:val="auto"/>
        </w:rPr>
        <w:t>V, ver tabla.</w:t>
      </w:r>
    </w:p>
    <w:p w:rsidR="00425FF4" w:rsidRPr="00A05F58" w:rsidRDefault="00425FF4" w:rsidP="004B7B3F">
      <w:pPr>
        <w:spacing w:before="0" w:after="0"/>
        <w:jc w:val="both"/>
        <w:rPr>
          <w:rFonts w:eastAsia="Times New Roman"/>
          <w:bCs/>
          <w:color w:val="auto"/>
          <w:sz w:val="20"/>
          <w:szCs w:val="20"/>
        </w:rPr>
      </w:pPr>
    </w:p>
    <w:p w:rsidR="00B212CE" w:rsidRPr="00776215" w:rsidRDefault="00F33B1A" w:rsidP="00B212CE">
      <w:pPr>
        <w:jc w:val="center"/>
        <w:rPr>
          <w:rFonts w:ascii="Tahoma" w:hAnsi="Tahoma" w:cs="Tahoma"/>
          <w:lang w:val="es-ES" w:eastAsia="es-ES"/>
        </w:rPr>
      </w:pPr>
      <w:r w:rsidRPr="00F33B1A">
        <w:rPr>
          <w:noProof/>
        </w:rPr>
        <w:drawing>
          <wp:inline distT="0" distB="0" distL="0" distR="0" wp14:anchorId="74E3DD3B" wp14:editId="64AB0968">
            <wp:extent cx="5578322" cy="617220"/>
            <wp:effectExtent l="0" t="0" r="381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612130" cy="620961"/>
                    </a:xfrm>
                    <a:prstGeom prst="rect">
                      <a:avLst/>
                    </a:prstGeom>
                  </pic:spPr>
                </pic:pic>
              </a:graphicData>
            </a:graphic>
          </wp:inline>
        </w:drawing>
      </w:r>
    </w:p>
    <w:p w:rsidR="002A128C" w:rsidRDefault="002A128C" w:rsidP="00B212CE">
      <w:pPr>
        <w:spacing w:before="0" w:after="0"/>
        <w:jc w:val="center"/>
        <w:rPr>
          <w:rFonts w:ascii="Tahoma" w:hAnsi="Tahoma" w:cs="Tahoma"/>
          <w:b/>
        </w:rPr>
      </w:pPr>
    </w:p>
    <w:p w:rsidR="00FC66AC" w:rsidRDefault="00FC66AC" w:rsidP="00B212CE">
      <w:pPr>
        <w:spacing w:before="0" w:after="0"/>
        <w:jc w:val="center"/>
        <w:rPr>
          <w:rFonts w:ascii="Tahoma" w:hAnsi="Tahoma" w:cs="Tahoma"/>
          <w:b/>
        </w:rPr>
      </w:pPr>
    </w:p>
    <w:p w:rsidR="00FC66AC" w:rsidRDefault="00FC66AC" w:rsidP="00B212CE">
      <w:pPr>
        <w:spacing w:before="0" w:after="0"/>
        <w:jc w:val="center"/>
        <w:rPr>
          <w:rFonts w:ascii="Tahoma" w:hAnsi="Tahoma" w:cs="Tahoma"/>
          <w:b/>
        </w:rPr>
      </w:pPr>
    </w:p>
    <w:p w:rsidR="00FC66AC" w:rsidRDefault="00FC66AC" w:rsidP="00B212CE">
      <w:pPr>
        <w:spacing w:before="0" w:after="0"/>
        <w:jc w:val="center"/>
        <w:rPr>
          <w:rFonts w:ascii="Tahoma" w:hAnsi="Tahoma" w:cs="Tahoma"/>
          <w:b/>
        </w:rPr>
      </w:pPr>
    </w:p>
    <w:p w:rsidR="00FC66AC" w:rsidRDefault="00FC66AC" w:rsidP="00B212CE">
      <w:pPr>
        <w:spacing w:before="0" w:after="0"/>
        <w:jc w:val="center"/>
        <w:rPr>
          <w:rFonts w:ascii="Tahoma" w:hAnsi="Tahoma" w:cs="Tahoma"/>
          <w:b/>
        </w:rPr>
      </w:pPr>
    </w:p>
    <w:p w:rsidR="00FC66AC" w:rsidRDefault="00FC66AC" w:rsidP="00B212CE">
      <w:pPr>
        <w:spacing w:before="0" w:after="0"/>
        <w:jc w:val="center"/>
        <w:rPr>
          <w:rFonts w:ascii="Tahoma" w:hAnsi="Tahoma" w:cs="Tahoma"/>
          <w:b/>
        </w:rPr>
      </w:pPr>
    </w:p>
    <w:p w:rsidR="00B212CE" w:rsidRPr="00776215" w:rsidRDefault="00B212CE" w:rsidP="00B212CE">
      <w:pPr>
        <w:spacing w:before="0" w:after="0"/>
        <w:jc w:val="center"/>
        <w:rPr>
          <w:rFonts w:ascii="Tahoma" w:hAnsi="Tahoma" w:cs="Tahoma"/>
          <w:b/>
        </w:rPr>
      </w:pPr>
      <w:r w:rsidRPr="00776215">
        <w:rPr>
          <w:rFonts w:ascii="Tahoma" w:hAnsi="Tahoma" w:cs="Tahoma"/>
          <w:b/>
        </w:rPr>
        <w:t>CAPITULO 4</w:t>
      </w:r>
    </w:p>
    <w:p w:rsidR="008C7A2F" w:rsidRPr="00776215" w:rsidRDefault="008C7A2F" w:rsidP="00B212CE">
      <w:pPr>
        <w:spacing w:before="0" w:after="0"/>
        <w:jc w:val="center"/>
        <w:rPr>
          <w:rFonts w:ascii="Tahoma" w:hAnsi="Tahoma" w:cs="Tahoma"/>
          <w:b/>
        </w:rPr>
      </w:pPr>
      <w:r w:rsidRPr="00776215">
        <w:rPr>
          <w:rFonts w:ascii="Tahoma" w:hAnsi="Tahoma" w:cs="Tahoma"/>
          <w:b/>
        </w:rPr>
        <w:t>RESULTADO ANALISIS</w:t>
      </w:r>
    </w:p>
    <w:p w:rsidR="00776215" w:rsidRPr="00776215" w:rsidRDefault="00776215" w:rsidP="00B212CE">
      <w:pPr>
        <w:spacing w:before="0" w:after="0"/>
        <w:jc w:val="center"/>
        <w:rPr>
          <w:rFonts w:ascii="Tahoma" w:hAnsi="Tahoma" w:cs="Tahoma"/>
          <w:b/>
        </w:rPr>
      </w:pPr>
    </w:p>
    <w:p w:rsidR="00477304" w:rsidRPr="00CA76CA" w:rsidRDefault="008C7A2F" w:rsidP="00B212CE">
      <w:pPr>
        <w:rPr>
          <w:rFonts w:ascii="Tahoma" w:hAnsi="Tahoma" w:cs="Tahoma"/>
          <w:b/>
        </w:rPr>
      </w:pPr>
      <w:r w:rsidRPr="00776215">
        <w:rPr>
          <w:rFonts w:ascii="Tahoma" w:hAnsi="Tahoma" w:cs="Tahoma"/>
          <w:b/>
          <w:lang w:val="es-ES" w:eastAsia="es-ES"/>
        </w:rPr>
        <w:t xml:space="preserve">4.1  </w:t>
      </w:r>
      <w:r w:rsidRPr="00CA76CA">
        <w:rPr>
          <w:rFonts w:ascii="Tahoma" w:hAnsi="Tahoma" w:cs="Tahoma"/>
          <w:b/>
        </w:rPr>
        <w:t>RESULTADO ANALISIS PRESUPUESTAL</w:t>
      </w:r>
    </w:p>
    <w:p w:rsidR="008C7A2F" w:rsidRPr="00CA76CA" w:rsidRDefault="008C7A2F" w:rsidP="00B212CE">
      <w:pPr>
        <w:rPr>
          <w:rFonts w:ascii="Tahoma" w:hAnsi="Tahoma" w:cs="Tahoma"/>
        </w:rPr>
      </w:pPr>
    </w:p>
    <w:p w:rsidR="008C7A2F" w:rsidRPr="00CA76CA" w:rsidRDefault="008C7A2F" w:rsidP="00776215">
      <w:pPr>
        <w:jc w:val="both"/>
        <w:rPr>
          <w:rFonts w:ascii="Tahoma" w:hAnsi="Tahoma" w:cs="Tahoma"/>
        </w:rPr>
      </w:pPr>
      <w:r w:rsidRPr="00CA76CA">
        <w:rPr>
          <w:rFonts w:ascii="Tahoma" w:hAnsi="Tahoma" w:cs="Tahoma"/>
        </w:rPr>
        <w:t xml:space="preserve">Una vez analizada la información presupuestal del municipio de </w:t>
      </w:r>
      <w:r w:rsidR="00A77968">
        <w:rPr>
          <w:rFonts w:ascii="Tahoma" w:hAnsi="Tahoma" w:cs="Tahoma"/>
        </w:rPr>
        <w:t>Anzoátegui</w:t>
      </w:r>
      <w:r w:rsidRPr="00CA76CA">
        <w:rPr>
          <w:rFonts w:ascii="Tahoma" w:hAnsi="Tahoma" w:cs="Tahoma"/>
        </w:rPr>
        <w:t xml:space="preserve"> </w:t>
      </w:r>
      <w:r w:rsidR="004F7914" w:rsidRPr="00CA76CA">
        <w:rPr>
          <w:rFonts w:ascii="Tahoma" w:hAnsi="Tahoma" w:cs="Tahoma"/>
        </w:rPr>
        <w:t xml:space="preserve">a Diciembre 31 de 2015, </w:t>
      </w:r>
      <w:r w:rsidRPr="00CA76CA">
        <w:rPr>
          <w:rFonts w:ascii="Tahoma" w:hAnsi="Tahoma" w:cs="Tahoma"/>
        </w:rPr>
        <w:t xml:space="preserve">se </w:t>
      </w:r>
      <w:r w:rsidR="004F7914" w:rsidRPr="00CA76CA">
        <w:rPr>
          <w:rFonts w:ascii="Tahoma" w:hAnsi="Tahoma" w:cs="Tahoma"/>
        </w:rPr>
        <w:t xml:space="preserve">evidenció que el ente Territorial, presentó </w:t>
      </w:r>
      <w:r w:rsidR="00B44FE7">
        <w:rPr>
          <w:rFonts w:ascii="Tahoma" w:hAnsi="Tahoma" w:cs="Tahoma"/>
        </w:rPr>
        <w:t>un  Superávit</w:t>
      </w:r>
      <w:r w:rsidR="004F7914" w:rsidRPr="00CA76CA">
        <w:rPr>
          <w:rFonts w:ascii="Tahoma" w:hAnsi="Tahoma" w:cs="Tahoma"/>
        </w:rPr>
        <w:t xml:space="preserve"> presupuestal en la suma de $</w:t>
      </w:r>
      <w:r w:rsidR="00A77968">
        <w:rPr>
          <w:rFonts w:ascii="Tahoma" w:hAnsi="Tahoma" w:cs="Tahoma"/>
        </w:rPr>
        <w:t>589</w:t>
      </w:r>
      <w:r w:rsidR="004F7914" w:rsidRPr="00CA76CA">
        <w:rPr>
          <w:rFonts w:ascii="Tahoma" w:hAnsi="Tahoma" w:cs="Tahoma"/>
        </w:rPr>
        <w:t>.</w:t>
      </w:r>
      <w:r w:rsidR="00A77968">
        <w:rPr>
          <w:rFonts w:ascii="Tahoma" w:hAnsi="Tahoma" w:cs="Tahoma"/>
        </w:rPr>
        <w:t>982.867.</w:t>
      </w:r>
      <w:r w:rsidR="004F7914" w:rsidRPr="00CA76CA">
        <w:rPr>
          <w:rFonts w:ascii="Tahoma" w:hAnsi="Tahoma" w:cs="Tahoma"/>
        </w:rPr>
        <w:t>oo, toda vez que el Total de los Gastos comprometidos</w:t>
      </w:r>
      <w:r w:rsidR="00E52376">
        <w:rPr>
          <w:rFonts w:ascii="Tahoma" w:hAnsi="Tahoma" w:cs="Tahoma"/>
        </w:rPr>
        <w:t xml:space="preserve"> de la vigencia</w:t>
      </w:r>
      <w:r w:rsidR="004F7914" w:rsidRPr="00CA76CA">
        <w:rPr>
          <w:rFonts w:ascii="Tahoma" w:hAnsi="Tahoma" w:cs="Tahoma"/>
        </w:rPr>
        <w:t>,  fueron m</w:t>
      </w:r>
      <w:r w:rsidR="0000509C">
        <w:rPr>
          <w:rFonts w:ascii="Tahoma" w:hAnsi="Tahoma" w:cs="Tahoma"/>
        </w:rPr>
        <w:t>enor</w:t>
      </w:r>
      <w:r w:rsidR="004F7914" w:rsidRPr="00CA76CA">
        <w:rPr>
          <w:rFonts w:ascii="Tahoma" w:hAnsi="Tahoma" w:cs="Tahoma"/>
        </w:rPr>
        <w:t>es a los ingresos efectivamente recaudados.  Ver Tabla.</w:t>
      </w:r>
    </w:p>
    <w:p w:rsidR="008C7A2F" w:rsidRDefault="008C7A2F" w:rsidP="00B212CE"/>
    <w:tbl>
      <w:tblPr>
        <w:tblW w:w="5980" w:type="dxa"/>
        <w:jc w:val="center"/>
        <w:tblInd w:w="55" w:type="dxa"/>
        <w:tblCellMar>
          <w:left w:w="70" w:type="dxa"/>
          <w:right w:w="70" w:type="dxa"/>
        </w:tblCellMar>
        <w:tblLook w:val="04A0" w:firstRow="1" w:lastRow="0" w:firstColumn="1" w:lastColumn="0" w:noHBand="0" w:noVBand="1"/>
      </w:tblPr>
      <w:tblGrid>
        <w:gridCol w:w="2480"/>
        <w:gridCol w:w="1820"/>
        <w:gridCol w:w="1680"/>
      </w:tblGrid>
      <w:tr w:rsidR="00B44FE7" w:rsidRPr="00B44FE7" w:rsidTr="00B44FE7">
        <w:trPr>
          <w:trHeight w:val="792"/>
          <w:jc w:val="center"/>
        </w:trPr>
        <w:tc>
          <w:tcPr>
            <w:tcW w:w="2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INGRESOS</w:t>
            </w:r>
            <w:r w:rsidRPr="00B44FE7">
              <w:rPr>
                <w:rFonts w:ascii="Tahoma" w:eastAsia="Times New Roman" w:hAnsi="Tahoma" w:cs="Tahoma"/>
                <w:color w:val="auto"/>
                <w:sz w:val="20"/>
                <w:szCs w:val="20"/>
              </w:rPr>
              <w:br/>
              <w:t xml:space="preserve">EFECTIVAMENTE RECAUDADOS </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GASTOS EFECTIVAMENTE COMPROMETIDOS </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B44FE7" w:rsidRPr="00B44FE7" w:rsidRDefault="00B44FE7" w:rsidP="00B44FE7">
            <w:pPr>
              <w:spacing w:before="0" w:after="0"/>
              <w:jc w:val="center"/>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DEFICIT  O  SUPERAVIT</w:t>
            </w:r>
            <w:r w:rsidRPr="00B44FE7">
              <w:rPr>
                <w:rFonts w:ascii="Tahoma" w:eastAsia="Times New Roman" w:hAnsi="Tahoma" w:cs="Tahoma"/>
                <w:color w:val="auto"/>
                <w:sz w:val="20"/>
                <w:szCs w:val="20"/>
              </w:rPr>
              <w:br/>
              <w:t xml:space="preserve">PRESUPUESTAL </w:t>
            </w:r>
          </w:p>
        </w:tc>
      </w:tr>
      <w:tr w:rsidR="00B44FE7" w:rsidRPr="00B44FE7" w:rsidTr="00B44FE7">
        <w:trPr>
          <w:trHeight w:val="264"/>
          <w:jc w:val="center"/>
        </w:trPr>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44FE7" w:rsidRPr="00B44FE7" w:rsidRDefault="00B44FE7" w:rsidP="00A77968">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A77968">
              <w:rPr>
                <w:rFonts w:ascii="Tahoma" w:eastAsia="Times New Roman" w:hAnsi="Tahoma" w:cs="Tahoma"/>
                <w:color w:val="auto"/>
                <w:sz w:val="20"/>
                <w:szCs w:val="20"/>
              </w:rPr>
              <w:t>19.856.198.162</w:t>
            </w:r>
            <w:r w:rsidRPr="00B44FE7">
              <w:rPr>
                <w:rFonts w:ascii="Tahoma" w:eastAsia="Times New Roman" w:hAnsi="Tahoma" w:cs="Tahoma"/>
                <w:color w:val="auto"/>
                <w:sz w:val="20"/>
                <w:szCs w:val="20"/>
              </w:rPr>
              <w:t xml:space="preserve"> </w:t>
            </w:r>
          </w:p>
        </w:tc>
        <w:tc>
          <w:tcPr>
            <w:tcW w:w="182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A77968">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00A77968">
              <w:rPr>
                <w:rFonts w:ascii="Tahoma" w:eastAsia="Times New Roman" w:hAnsi="Tahoma" w:cs="Tahoma"/>
                <w:color w:val="auto"/>
                <w:sz w:val="20"/>
                <w:szCs w:val="20"/>
              </w:rPr>
              <w:t>19.266.215.295</w:t>
            </w:r>
            <w:r w:rsidRPr="00B44FE7">
              <w:rPr>
                <w:rFonts w:ascii="Tahoma" w:eastAsia="Times New Roman" w:hAnsi="Tahoma" w:cs="Tahoma"/>
                <w:color w:val="auto"/>
                <w:sz w:val="20"/>
                <w:szCs w:val="20"/>
              </w:rPr>
              <w:t xml:space="preserve"> </w:t>
            </w:r>
          </w:p>
        </w:tc>
        <w:tc>
          <w:tcPr>
            <w:tcW w:w="1680" w:type="dxa"/>
            <w:tcBorders>
              <w:top w:val="nil"/>
              <w:left w:val="nil"/>
              <w:bottom w:val="single" w:sz="4" w:space="0" w:color="auto"/>
              <w:right w:val="single" w:sz="4" w:space="0" w:color="auto"/>
            </w:tcBorders>
            <w:shd w:val="clear" w:color="auto" w:fill="auto"/>
            <w:noWrap/>
            <w:vAlign w:val="bottom"/>
            <w:hideMark/>
          </w:tcPr>
          <w:p w:rsidR="00B44FE7" w:rsidRPr="00B44FE7" w:rsidRDefault="00B44FE7" w:rsidP="00A77968">
            <w:pPr>
              <w:spacing w:before="0" w:after="0"/>
              <w:jc w:val="right"/>
              <w:rPr>
                <w:rFonts w:ascii="Tahoma" w:eastAsia="Times New Roman" w:hAnsi="Tahoma" w:cs="Tahoma"/>
                <w:color w:val="auto"/>
                <w:sz w:val="20"/>
                <w:szCs w:val="20"/>
              </w:rPr>
            </w:pPr>
            <w:r w:rsidRPr="00B44FE7">
              <w:rPr>
                <w:rFonts w:ascii="Tahoma" w:eastAsia="Times New Roman" w:hAnsi="Tahoma" w:cs="Tahoma"/>
                <w:color w:val="auto"/>
                <w:sz w:val="20"/>
                <w:szCs w:val="20"/>
              </w:rPr>
              <w:t xml:space="preserve">       </w:t>
            </w:r>
            <w:r>
              <w:rPr>
                <w:rFonts w:ascii="Tahoma" w:eastAsia="Times New Roman" w:hAnsi="Tahoma" w:cs="Tahoma"/>
                <w:color w:val="auto"/>
                <w:sz w:val="20"/>
                <w:szCs w:val="20"/>
              </w:rPr>
              <w:t>$</w:t>
            </w:r>
            <w:r w:rsidRPr="00B44FE7">
              <w:rPr>
                <w:rFonts w:ascii="Tahoma" w:eastAsia="Times New Roman" w:hAnsi="Tahoma" w:cs="Tahoma"/>
                <w:color w:val="auto"/>
                <w:sz w:val="20"/>
                <w:szCs w:val="20"/>
              </w:rPr>
              <w:t>5</w:t>
            </w:r>
            <w:r w:rsidR="00A77968">
              <w:rPr>
                <w:rFonts w:ascii="Tahoma" w:eastAsia="Times New Roman" w:hAnsi="Tahoma" w:cs="Tahoma"/>
                <w:color w:val="auto"/>
                <w:sz w:val="20"/>
                <w:szCs w:val="20"/>
              </w:rPr>
              <w:t>89.982.867</w:t>
            </w:r>
            <w:r w:rsidRPr="00B44FE7">
              <w:rPr>
                <w:rFonts w:ascii="Tahoma" w:eastAsia="Times New Roman" w:hAnsi="Tahoma" w:cs="Tahoma"/>
                <w:color w:val="auto"/>
                <w:sz w:val="20"/>
                <w:szCs w:val="20"/>
              </w:rPr>
              <w:t xml:space="preserve"> </w:t>
            </w:r>
          </w:p>
        </w:tc>
      </w:tr>
    </w:tbl>
    <w:p w:rsidR="00477304" w:rsidRDefault="00477304" w:rsidP="00B212CE"/>
    <w:p w:rsidR="004F7914" w:rsidRPr="00CA76CA" w:rsidRDefault="00BD4C82" w:rsidP="00CA76CA">
      <w:pPr>
        <w:jc w:val="both"/>
        <w:rPr>
          <w:rFonts w:ascii="Tahoma" w:hAnsi="Tahoma" w:cs="Tahoma"/>
        </w:rPr>
      </w:pPr>
      <w:r w:rsidRPr="00CA76CA">
        <w:rPr>
          <w:rFonts w:ascii="Tahoma" w:hAnsi="Tahoma" w:cs="Tahoma"/>
        </w:rPr>
        <w:t xml:space="preserve">El conocimiento oportuno y preciso de los resultados de la gestión de los recursos públicos durante un período, es indispensable no sólo para juzgar su pertinencia y eficiencia, sino también para tomar los correctivos orientados al logro de las metas fiscales y económicas propuestas. </w:t>
      </w:r>
      <w:r w:rsidR="004F7914" w:rsidRPr="00CA76CA">
        <w:rPr>
          <w:rFonts w:ascii="Tahoma" w:hAnsi="Tahoma" w:cs="Tahoma"/>
        </w:rPr>
        <w:t xml:space="preserve"> </w:t>
      </w:r>
    </w:p>
    <w:p w:rsidR="004F7914" w:rsidRPr="00CA76CA" w:rsidRDefault="004F7914" w:rsidP="00B212CE">
      <w:pPr>
        <w:rPr>
          <w:rFonts w:ascii="Tahoma" w:hAnsi="Tahoma" w:cs="Tahoma"/>
        </w:rPr>
      </w:pPr>
    </w:p>
    <w:p w:rsidR="005C0DCB" w:rsidRDefault="005C0DCB" w:rsidP="005C0DCB">
      <w:pPr>
        <w:tabs>
          <w:tab w:val="left" w:pos="6480"/>
        </w:tabs>
        <w:spacing w:before="0" w:after="0" w:line="228" w:lineRule="auto"/>
        <w:rPr>
          <w:rFonts w:ascii="Tahoma" w:hAnsi="Tahoma" w:cs="Tahoma"/>
          <w:b/>
          <w:sz w:val="16"/>
        </w:rPr>
      </w:pPr>
      <w:r>
        <w:rPr>
          <w:rFonts w:ascii="Tahoma" w:hAnsi="Tahoma" w:cs="Tahoma"/>
          <w:b/>
          <w:sz w:val="16"/>
        </w:rPr>
        <w:tab/>
      </w:r>
    </w:p>
    <w:sectPr w:rsidR="005C0DCB" w:rsidSect="005F4548">
      <w:pgSz w:w="12242" w:h="15842" w:code="1"/>
      <w:pgMar w:top="1985" w:right="1701" w:bottom="1417" w:left="1701" w:header="57" w:footer="19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C2B" w:rsidRDefault="00C10C2B" w:rsidP="00650A99">
      <w:r>
        <w:separator/>
      </w:r>
    </w:p>
  </w:endnote>
  <w:endnote w:type="continuationSeparator" w:id="0">
    <w:p w:rsidR="00C10C2B" w:rsidRDefault="00C10C2B" w:rsidP="0065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FDB" w:rsidRPr="00070555" w:rsidRDefault="00763FDB">
    <w:pPr>
      <w:pStyle w:val="Piedepgina"/>
      <w:rPr>
        <w:rFonts w:ascii="Tahoma" w:hAnsi="Tahoma" w:cs="Tahoma"/>
        <w:sz w:val="14"/>
        <w:szCs w:val="20"/>
      </w:rPr>
    </w:pPr>
    <w:r w:rsidRPr="00070555">
      <w:rPr>
        <w:rFonts w:ascii="Tahoma" w:hAnsi="Tahoma" w:cs="Tahoma"/>
        <w:noProof/>
        <w:sz w:val="18"/>
        <w:szCs w:val="18"/>
      </w:rPr>
      <mc:AlternateContent>
        <mc:Choice Requires="wps">
          <w:drawing>
            <wp:anchor distT="0" distB="0" distL="114300" distR="114300" simplePos="0" relativeHeight="251666432" behindDoc="0" locked="0" layoutInCell="1" allowOverlap="1" wp14:anchorId="0EB29561" wp14:editId="74196308">
              <wp:simplePos x="0" y="0"/>
              <wp:positionH relativeFrom="column">
                <wp:posOffset>-157480</wp:posOffset>
              </wp:positionH>
              <wp:positionV relativeFrom="paragraph">
                <wp:posOffset>88265</wp:posOffset>
              </wp:positionV>
              <wp:extent cx="2827020" cy="1309370"/>
              <wp:effectExtent l="0" t="0" r="0" b="5080"/>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1309370"/>
                      </a:xfrm>
                      <a:prstGeom prst="rect">
                        <a:avLst/>
                      </a:prstGeom>
                      <a:noFill/>
                      <a:ln w="9525">
                        <a:noFill/>
                        <a:miter lim="800000"/>
                        <a:headEnd/>
                        <a:tailEnd/>
                      </a:ln>
                    </wps:spPr>
                    <wps:txb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C10C2B"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1"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2"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12.4pt;margin-top:6.95pt;width:222.6pt;height:10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miEAIAAPsDAAAOAAAAZHJzL2Uyb0RvYy54bWysU9uO2yAQfa/Uf0C8N3a8SZNYcVbbbLeq&#10;tL1I234AARyjAkOBxE6/vgPOZqP2raofEHhmDnPOHNa3g9HkKH1QYBs6nZSUSMtBKLtv6PdvD2+W&#10;lITIrGAarGzoSQZ6u3n9at27WlbQgRbSEwSxoe5dQ7sYXV0UgXfSsDABJy0GW/CGRTz6fSE86xHd&#10;6KIqy7dFD144D1yGgH/vxyDdZPy2lTx+adsgI9ENxd5iXn1ed2ktNmtW7z1zneLnNtg/dGGYsnjp&#10;BeqeRUYOXv0FZRT3EKCNEw6mgLZVXGYOyGZa/sHmqWNOZi4oTnAXmcL/g+Wfj189UaKhVUWJZQZn&#10;tD0w4YEISaIcIpAqqdS7UGPyk8P0OLyDAaedGQf3CPxHIBa2HbN7eec99J1kArucpsriqnTECQlk&#10;138CgbexQ4QMNLTeJAlRFILoOK3TZULYB+H4s1pWi7LCEMfY9KZc3SzyDAtWP5c7H+IHCYakTUM9&#10;WiDDs+NjiKkdVj+npNssPCitsw20JX1DV/NqnguuIkZFdKlWpqHLMn2jbxLL91bk4siUHvd4gbZn&#10;2onpyDkOuwETkxY7ECcUwMPoRnw9uOnA/6KkRyc2NPw8MC8p0R8tiriazmbJuvkwmy8SfX8d2V1H&#10;mOUI1dBIybjdxmz3kesdit2qLMNLJ+de0WFZnfNrSBa+Pueslze7+Q0AAP//AwBQSwMEFAAGAAgA&#10;AAAhAOUT33feAAAACgEAAA8AAABkcnMvZG93bnJldi54bWxMj8FOwzAQRO9I/Qdrkbi1dk2oaIhT&#10;VSCuIFpA4ubG2yQiXkex24S/ZznR42hGM2+KzeQ7ccYhtoEMLBcKBFIVXEu1gff98/weREyWnO0C&#10;oYEfjLApZ1eFzV0Y6Q3Pu1QLLqGYWwNNSn0uZawa9DYuQo/E3jEM3iaWQy3dYEcu953USq2kty3x&#10;QmN7fGyw+t6dvIGPl+PXZ6Ze6yd/149hUpL8Whpzcz1tH0AknNJ/GP7wGR1KZjqEE7koOgNznTF6&#10;YuN2DYIDmVYZiIMBrdUSZFnIywvlLwAAAP//AwBQSwECLQAUAAYACAAAACEAtoM4kv4AAADhAQAA&#10;EwAAAAAAAAAAAAAAAAAAAAAAW0NvbnRlbnRfVHlwZXNdLnhtbFBLAQItABQABgAIAAAAIQA4/SH/&#10;1gAAAJQBAAALAAAAAAAAAAAAAAAAAC8BAABfcmVscy8ucmVsc1BLAQItABQABgAIAAAAIQDVEXmi&#10;EAIAAPsDAAAOAAAAAAAAAAAAAAAAAC4CAABkcnMvZTJvRG9jLnhtbFBLAQItABQABgAIAAAAIQDl&#10;E9933gAAAAoBAAAPAAAAAAAAAAAAAAAAAGoEAABkcnMvZG93bnJldi54bWxQSwUGAAAAAAQABADz&#10;AAAAdQUAAAAA&#10;" filled="f" stroked="f">
              <v:textbox>
                <w:txbxContent>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________________________________________</w:t>
                    </w:r>
                  </w:p>
                  <w:p w:rsidR="00763FDB"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p>
                  <w:p w:rsidR="00763FDB" w:rsidRPr="00BB3D88" w:rsidRDefault="00763FDB" w:rsidP="00351487">
                    <w:pPr>
                      <w:tabs>
                        <w:tab w:val="left" w:pos="-2835"/>
                        <w:tab w:val="left" w:pos="-2694"/>
                        <w:tab w:val="left" w:pos="-2552"/>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Edificio </w:t>
                    </w:r>
                    <w:r w:rsidRPr="00BB3D88">
                      <w:rPr>
                        <w:rFonts w:ascii="Tahoma" w:hAnsi="Tahoma" w:cs="Tahoma"/>
                        <w:sz w:val="18"/>
                        <w:szCs w:val="18"/>
                      </w:rPr>
                      <w:t xml:space="preserve">Gobernación del Tolima, Piso 7 </w:t>
                    </w:r>
                  </w:p>
                  <w:p w:rsidR="00763FDB" w:rsidRPr="003205FF" w:rsidRDefault="007B5998" w:rsidP="003205FF">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hyperlink r:id="rId3" w:history="1">
                      <w:r w:rsidR="00763FDB" w:rsidRPr="003205FF">
                        <w:rPr>
                          <w:rStyle w:val="Hipervnculo"/>
                          <w:rFonts w:ascii="Tahoma" w:hAnsi="Tahoma" w:cs="Tahoma"/>
                          <w:color w:val="auto"/>
                          <w:sz w:val="18"/>
                          <w:szCs w:val="18"/>
                          <w:u w:val="none"/>
                        </w:rPr>
                        <w:t>despacho.contraloria@contraloriatolima.gov.co</w:t>
                      </w:r>
                    </w:hyperlink>
                  </w:p>
                  <w:p w:rsidR="00763FDB" w:rsidRPr="000352F0" w:rsidRDefault="00763FDB" w:rsidP="00351487">
                    <w:pPr>
                      <w:tabs>
                        <w:tab w:val="left" w:pos="-2835"/>
                        <w:tab w:val="left" w:pos="-2694"/>
                        <w:tab w:val="left" w:pos="0"/>
                        <w:tab w:val="left" w:pos="142"/>
                      </w:tabs>
                      <w:spacing w:before="0" w:after="0"/>
                      <w:ind w:left="142"/>
                      <w:jc w:val="center"/>
                      <w:rPr>
                        <w:rStyle w:val="Hipervnculo"/>
                        <w:rFonts w:ascii="Tahoma" w:hAnsi="Tahoma" w:cs="Tahoma"/>
                        <w:color w:val="auto"/>
                        <w:sz w:val="18"/>
                        <w:szCs w:val="18"/>
                        <w:u w:val="none"/>
                      </w:rPr>
                    </w:pPr>
                    <w:r w:rsidRPr="000352F0">
                      <w:rPr>
                        <w:rFonts w:ascii="Tahoma" w:hAnsi="Tahoma" w:cs="Tahoma"/>
                        <w:sz w:val="18"/>
                        <w:szCs w:val="18"/>
                      </w:rPr>
                      <w:t xml:space="preserve">Web-Site:  </w:t>
                    </w:r>
                    <w:hyperlink r:id="rId4" w:history="1">
                      <w:r w:rsidRPr="000352F0">
                        <w:rPr>
                          <w:rStyle w:val="Hipervnculo"/>
                          <w:rFonts w:ascii="Tahoma" w:hAnsi="Tahoma" w:cs="Tahoma"/>
                          <w:color w:val="auto"/>
                          <w:sz w:val="18"/>
                          <w:szCs w:val="18"/>
                          <w:u w:val="none"/>
                        </w:rPr>
                        <w:t>www.contraloriatolima.gov.co</w:t>
                      </w:r>
                    </w:hyperlink>
                  </w:p>
                  <w:p w:rsidR="00763FDB" w:rsidRPr="00BB3D88" w:rsidRDefault="00763FDB" w:rsidP="00351487">
                    <w:pPr>
                      <w:tabs>
                        <w:tab w:val="left" w:pos="-2835"/>
                        <w:tab w:val="left" w:pos="-2694"/>
                        <w:tab w:val="left" w:pos="0"/>
                        <w:tab w:val="left" w:pos="142"/>
                      </w:tabs>
                      <w:spacing w:before="0" w:after="0"/>
                      <w:ind w:left="142"/>
                      <w:jc w:val="center"/>
                      <w:rPr>
                        <w:rFonts w:ascii="Tahoma" w:hAnsi="Tahoma" w:cs="Tahoma"/>
                        <w:sz w:val="18"/>
                        <w:szCs w:val="18"/>
                      </w:rPr>
                    </w:pPr>
                    <w:r>
                      <w:rPr>
                        <w:rFonts w:ascii="Tahoma" w:hAnsi="Tahoma" w:cs="Tahoma"/>
                        <w:sz w:val="18"/>
                        <w:szCs w:val="18"/>
                      </w:rPr>
                      <w:t xml:space="preserve">PBX: 2 </w:t>
                    </w:r>
                    <w:r w:rsidRPr="00BB3D88">
                      <w:rPr>
                        <w:rFonts w:ascii="Tahoma" w:hAnsi="Tahoma" w:cs="Tahoma"/>
                        <w:sz w:val="18"/>
                        <w:szCs w:val="18"/>
                      </w:rPr>
                      <w:t>61</w:t>
                    </w:r>
                    <w:r>
                      <w:rPr>
                        <w:rFonts w:ascii="Tahoma" w:hAnsi="Tahoma" w:cs="Tahoma"/>
                        <w:sz w:val="18"/>
                        <w:szCs w:val="18"/>
                      </w:rPr>
                      <w:t xml:space="preserve"> </w:t>
                    </w:r>
                    <w:r w:rsidRPr="00BB3D88">
                      <w:rPr>
                        <w:rFonts w:ascii="Tahoma" w:hAnsi="Tahoma" w:cs="Tahoma"/>
                        <w:sz w:val="18"/>
                        <w:szCs w:val="18"/>
                      </w:rPr>
                      <w:t>11</w:t>
                    </w:r>
                    <w:r>
                      <w:rPr>
                        <w:rFonts w:ascii="Tahoma" w:hAnsi="Tahoma" w:cs="Tahoma"/>
                        <w:sz w:val="18"/>
                        <w:szCs w:val="18"/>
                      </w:rPr>
                      <w:t xml:space="preserve"> </w:t>
                    </w:r>
                    <w:r w:rsidRPr="00BB3D88">
                      <w:rPr>
                        <w:rFonts w:ascii="Tahoma" w:hAnsi="Tahoma" w:cs="Tahoma"/>
                        <w:sz w:val="18"/>
                        <w:szCs w:val="18"/>
                      </w:rPr>
                      <w:t xml:space="preserve">67 </w:t>
                    </w:r>
                    <w:r>
                      <w:rPr>
                        <w:rFonts w:ascii="Tahoma" w:hAnsi="Tahoma" w:cs="Tahoma"/>
                        <w:sz w:val="18"/>
                        <w:szCs w:val="18"/>
                      </w:rPr>
                      <w:t>/ 2 61 11 69</w:t>
                    </w:r>
                  </w:p>
                  <w:p w:rsidR="00763FDB" w:rsidRPr="00A926CE" w:rsidRDefault="00763FDB" w:rsidP="00351487">
                    <w:pPr>
                      <w:tabs>
                        <w:tab w:val="left" w:pos="-2835"/>
                        <w:tab w:val="left" w:pos="-2694"/>
                        <w:tab w:val="left" w:pos="0"/>
                        <w:tab w:val="left" w:pos="142"/>
                      </w:tabs>
                      <w:spacing w:before="0" w:after="0"/>
                      <w:ind w:left="142"/>
                      <w:jc w:val="center"/>
                      <w:rPr>
                        <w:rFonts w:ascii="Tahoma" w:hAnsi="Tahoma" w:cs="Tahoma"/>
                        <w:sz w:val="18"/>
                        <w:szCs w:val="20"/>
                      </w:rPr>
                    </w:pPr>
                    <w:r w:rsidRPr="00A926CE">
                      <w:rPr>
                        <w:rFonts w:ascii="Tahoma" w:hAnsi="Tahoma" w:cs="Tahoma"/>
                        <w:sz w:val="18"/>
                        <w:szCs w:val="20"/>
                      </w:rPr>
                      <w:t>NIT: 890.706.847-1</w:t>
                    </w:r>
                  </w:p>
                </w:txbxContent>
              </v:textbox>
            </v:shape>
          </w:pict>
        </mc:Fallback>
      </mc:AlternateContent>
    </w:r>
    <w:r w:rsidRPr="00070555">
      <w:rPr>
        <w:rFonts w:ascii="Tahoma" w:hAnsi="Tahoma" w:cs="Tahoma"/>
        <w:noProof/>
        <w:sz w:val="14"/>
        <w:szCs w:val="20"/>
      </w:rPr>
      <mc:AlternateContent>
        <mc:Choice Requires="wps">
          <w:drawing>
            <wp:anchor distT="0" distB="0" distL="114300" distR="114300" simplePos="0" relativeHeight="251668480" behindDoc="0" locked="0" layoutInCell="1" allowOverlap="1" wp14:anchorId="0CF91DF9" wp14:editId="4BFF9ADE">
              <wp:simplePos x="0" y="0"/>
              <wp:positionH relativeFrom="column">
                <wp:posOffset>2510790</wp:posOffset>
              </wp:positionH>
              <wp:positionV relativeFrom="paragraph">
                <wp:posOffset>28575</wp:posOffset>
              </wp:positionV>
              <wp:extent cx="1190625" cy="29781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97815"/>
                      </a:xfrm>
                      <a:prstGeom prst="rect">
                        <a:avLst/>
                      </a:prstGeom>
                      <a:noFill/>
                      <a:ln w="9525">
                        <a:noFill/>
                        <a:miter lim="800000"/>
                        <a:headEnd/>
                        <a:tailEnd/>
                      </a:ln>
                    </wps:spPr>
                    <wps:txb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4D7E4B" w:rsidRPr="004D7E4B">
                            <w:rPr>
                              <w:rFonts w:ascii="Tahoma" w:hAnsi="Tahoma" w:cs="Tahoma"/>
                              <w:noProof/>
                              <w:sz w:val="14"/>
                              <w:szCs w:val="16"/>
                              <w:lang w:val="es-ES"/>
                            </w:rPr>
                            <w:t>17</w:t>
                          </w:r>
                          <w:r w:rsidR="00763FDB" w:rsidRPr="003205FF">
                            <w:rPr>
                              <w:rFonts w:ascii="Tahoma" w:hAnsi="Tahoma" w:cs="Tahoma"/>
                              <w:sz w:val="14"/>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97.7pt;margin-top:2.25pt;width:93.75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BykDwIAAAAEAAAOAAAAZHJzL2Uyb0RvYy54bWysU9tuGyEQfa/Uf0C813uRncQrr6PUaapK&#10;6UVK+wEYWC8qMBSwd92v78A6jpW+Vd0HNOwMZ+YcDqvb0WhykD4osC2tZiUl0nIQyu5a+uP7w7sb&#10;SkJkVjANVrb0KAO9Xb99sxpcI2voQQvpCYLY0AyupX2MrimKwHtpWJiBkxaTHXjDIm79rhCeDYhu&#10;dFGX5VUxgBfOA5ch4N/7KUnXGb/rJI9fuy7ISHRLcbaYV5/XbVqL9Yo1O89cr/hpDPYPUximLDY9&#10;Q92zyMjeq7+gjOIeAnRxxsEU0HWKy8wB2VTlKzZPPXMyc0FxgjvLFP4fLP9y+OaJEi2dU2KZwSva&#10;7JnwQIQkUY4RSJ1EGlxosPbJYXUc38OIl50JB/cI/GcgFjY9szt55z0MvWQCh6zSyeLi6IQTEsh2&#10;+AwCu7F9hAw0dt4kBVETguh4WcfzBeEchKeW1bK8qheUcMzVy+ubapFbsOb5tPMhfpRgSApa6tEA&#10;GZ0dHkNM07DmuSQ1s/CgtM4m0JYMLV0uEP5VxqiIHtXKtPSmTN/kmkTygxX5cGRKTzE20PbEOhGd&#10;KMdxO2aVsyRJkS2II8rgYbIkPiEMevC/KRnQji0Nv/bMS0r0J4tSLqv5PPk3b+aL6xo3/jKzvcww&#10;yxGqpZGSKdzE7PmJ2B1K3qmsxsskp5HRZlmk05NIPr7c56qXh7v+AwAA//8DAFBLAwQUAAYACAAA&#10;ACEAH9dPMt0AAAAIAQAADwAAAGRycy9kb3ducmV2LnhtbEyPwU7DMBBE70j9B2uRuFG7JamaNE5V&#10;gbiCKAWpNzfeJhHxOordJvw9ywlus5rRzNtiO7lOXHEIrScNi7kCgVR521Kt4fD+fL8GEaIhazpP&#10;qOEbA2zL2U1hcutHesPrPtaCSyjkRkMTY59LGaoGnQlz3yOxd/aDM5HPoZZ2MCOXu04ulVpJZ1ri&#10;hcb0+Nhg9bW/OA0fL+fjZ6Je6yeX9qOflCSXSa3vbqfdBkTEKf6F4Ref0aFkppO/kA2i0/CQpQlH&#10;NSQpCPbT9TIDcWKxSECWhfz/QPkDAAD//wMAUEsBAi0AFAAGAAgAAAAhALaDOJL+AAAA4QEAABMA&#10;AAAAAAAAAAAAAAAAAAAAAFtDb250ZW50X1R5cGVzXS54bWxQSwECLQAUAAYACAAAACEAOP0h/9YA&#10;AACUAQAACwAAAAAAAAAAAAAAAAAvAQAAX3JlbHMvLnJlbHNQSwECLQAUAAYACAAAACEAd1wcpA8C&#10;AAAABAAADgAAAAAAAAAAAAAAAAAuAgAAZHJzL2Uyb0RvYy54bWxQSwECLQAUAAYACAAAACEAH9dP&#10;Mt0AAAAIAQAADwAAAAAAAAAAAAAAAABpBAAAZHJzL2Rvd25yZXYueG1sUEsFBgAAAAAEAAQA8wAA&#10;AHMFAAAAAA==&#10;" filled="f" stroked="f">
              <v:textbox>
                <w:txbxContent>
                  <w:p w:rsidR="00763FDB" w:rsidRPr="003205FF" w:rsidRDefault="00B07062" w:rsidP="00B6483D">
                    <w:pPr>
                      <w:jc w:val="center"/>
                      <w:rPr>
                        <w:rFonts w:ascii="Tahoma" w:hAnsi="Tahoma" w:cs="Tahoma"/>
                        <w:sz w:val="14"/>
                        <w:szCs w:val="16"/>
                      </w:rPr>
                    </w:pPr>
                    <w:r>
                      <w:rPr>
                        <w:rFonts w:ascii="Tahoma" w:hAnsi="Tahoma" w:cs="Tahoma"/>
                        <w:sz w:val="14"/>
                        <w:szCs w:val="16"/>
                      </w:rPr>
                      <w:t>2</w:t>
                    </w:r>
                    <w:r w:rsidR="00763FDB" w:rsidRPr="003205FF">
                      <w:rPr>
                        <w:rFonts w:ascii="Tahoma" w:hAnsi="Tahoma" w:cs="Tahoma"/>
                        <w:sz w:val="12"/>
                        <w:szCs w:val="16"/>
                        <w:lang w:val="es-ES"/>
                      </w:rPr>
                      <w:t xml:space="preserve"> de </w:t>
                    </w:r>
                    <w:r w:rsidR="00763FDB" w:rsidRPr="003205FF">
                      <w:rPr>
                        <w:rFonts w:ascii="Tahoma" w:hAnsi="Tahoma" w:cs="Tahoma"/>
                        <w:sz w:val="14"/>
                        <w:szCs w:val="16"/>
                      </w:rPr>
                      <w:fldChar w:fldCharType="begin"/>
                    </w:r>
                    <w:r w:rsidR="00763FDB" w:rsidRPr="003205FF">
                      <w:rPr>
                        <w:rFonts w:ascii="Tahoma" w:hAnsi="Tahoma" w:cs="Tahoma"/>
                        <w:sz w:val="14"/>
                        <w:szCs w:val="16"/>
                      </w:rPr>
                      <w:instrText>NUMPAGES  \* Arabic  \* MERGEFORMAT</w:instrText>
                    </w:r>
                    <w:r w:rsidR="00763FDB" w:rsidRPr="003205FF">
                      <w:rPr>
                        <w:rFonts w:ascii="Tahoma" w:hAnsi="Tahoma" w:cs="Tahoma"/>
                        <w:sz w:val="14"/>
                        <w:szCs w:val="16"/>
                      </w:rPr>
                      <w:fldChar w:fldCharType="separate"/>
                    </w:r>
                    <w:r w:rsidR="004D7E4B" w:rsidRPr="004D7E4B">
                      <w:rPr>
                        <w:rFonts w:ascii="Tahoma" w:hAnsi="Tahoma" w:cs="Tahoma"/>
                        <w:noProof/>
                        <w:sz w:val="14"/>
                        <w:szCs w:val="16"/>
                        <w:lang w:val="es-ES"/>
                      </w:rPr>
                      <w:t>17</w:t>
                    </w:r>
                    <w:r w:rsidR="00763FDB" w:rsidRPr="003205FF">
                      <w:rPr>
                        <w:rFonts w:ascii="Tahoma" w:hAnsi="Tahoma" w:cs="Tahoma"/>
                        <w:sz w:val="14"/>
                        <w:szCs w:val="16"/>
                      </w:rPr>
                      <w:fldChar w:fldCharType="end"/>
                    </w:r>
                  </w:p>
                </w:txbxContent>
              </v:textbox>
            </v:shape>
          </w:pict>
        </mc:Fallback>
      </mc:AlternateContent>
    </w:r>
  </w:p>
  <w:p w:rsidR="00763FDB" w:rsidRPr="00070555" w:rsidRDefault="00763FDB">
    <w:pPr>
      <w:pStyle w:val="Piedepgina"/>
      <w:rPr>
        <w:rFonts w:ascii="Tahoma" w:hAnsi="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C2B" w:rsidRDefault="00C10C2B" w:rsidP="00650A99">
      <w:r>
        <w:separator/>
      </w:r>
    </w:p>
  </w:footnote>
  <w:footnote w:type="continuationSeparator" w:id="0">
    <w:p w:rsidR="00C10C2B" w:rsidRDefault="00C10C2B" w:rsidP="0065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FDB" w:rsidRPr="00124F58" w:rsidRDefault="004D7E4B">
    <w:pPr>
      <w:pStyle w:val="Encabezado"/>
      <w:rPr>
        <w:rFonts w:ascii="Tahoma" w:hAnsi="Tahoma" w:cs="Tahoma"/>
        <w:sz w:val="8"/>
      </w:rPr>
    </w:pPr>
    <w:r>
      <w:rPr>
        <w:rFonts w:ascii="Tahoma" w:hAnsi="Tahoma" w:cs="Tahoma"/>
        <w:noProof/>
        <w:sz w:val="8"/>
      </w:rPr>
      <w:drawing>
        <wp:inline distT="0" distB="0" distL="0" distR="0">
          <wp:extent cx="1571625" cy="1219200"/>
          <wp:effectExtent l="0" t="0" r="9525" b="0"/>
          <wp:docPr id="1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 Contraloria.png"/>
                  <pic:cNvPicPr/>
                </pic:nvPicPr>
                <pic:blipFill>
                  <a:blip r:embed="rId1">
                    <a:extLst>
                      <a:ext uri="{28A0092B-C50C-407E-A947-70E740481C1C}">
                        <a14:useLocalDpi xmlns:a14="http://schemas.microsoft.com/office/drawing/2010/main" val="0"/>
                      </a:ext>
                    </a:extLst>
                  </a:blip>
                  <a:stretch>
                    <a:fillRect/>
                  </a:stretch>
                </pic:blipFill>
                <pic:spPr>
                  <a:xfrm>
                    <a:off x="0" y="0"/>
                    <a:ext cx="1571625"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3920"/>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nsid w:val="0DB803C8"/>
    <w:multiLevelType w:val="multilevel"/>
    <w:tmpl w:val="489AB9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nsid w:val="5CD9317C"/>
    <w:multiLevelType w:val="multilevel"/>
    <w:tmpl w:val="44168D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99"/>
    <w:rsid w:val="00001124"/>
    <w:rsid w:val="00001B0E"/>
    <w:rsid w:val="0000440B"/>
    <w:rsid w:val="0000466A"/>
    <w:rsid w:val="00004FE1"/>
    <w:rsid w:val="0000509C"/>
    <w:rsid w:val="00014DDB"/>
    <w:rsid w:val="000229B5"/>
    <w:rsid w:val="00025419"/>
    <w:rsid w:val="00025DD5"/>
    <w:rsid w:val="000344EC"/>
    <w:rsid w:val="0003468E"/>
    <w:rsid w:val="000352F0"/>
    <w:rsid w:val="0003642F"/>
    <w:rsid w:val="000366A8"/>
    <w:rsid w:val="000367BB"/>
    <w:rsid w:val="00040B1A"/>
    <w:rsid w:val="00043E5E"/>
    <w:rsid w:val="000448FA"/>
    <w:rsid w:val="00044B50"/>
    <w:rsid w:val="000479B3"/>
    <w:rsid w:val="00054A9B"/>
    <w:rsid w:val="00054CD9"/>
    <w:rsid w:val="0006131A"/>
    <w:rsid w:val="00062C97"/>
    <w:rsid w:val="000653AB"/>
    <w:rsid w:val="00070555"/>
    <w:rsid w:val="000711BD"/>
    <w:rsid w:val="000714F0"/>
    <w:rsid w:val="0007281C"/>
    <w:rsid w:val="00072FEB"/>
    <w:rsid w:val="00073152"/>
    <w:rsid w:val="000740A1"/>
    <w:rsid w:val="00074463"/>
    <w:rsid w:val="00075575"/>
    <w:rsid w:val="000768A7"/>
    <w:rsid w:val="00081209"/>
    <w:rsid w:val="00081BF9"/>
    <w:rsid w:val="00084A9E"/>
    <w:rsid w:val="00084FFA"/>
    <w:rsid w:val="00092425"/>
    <w:rsid w:val="00093AFB"/>
    <w:rsid w:val="00094D4C"/>
    <w:rsid w:val="000A1063"/>
    <w:rsid w:val="000B1067"/>
    <w:rsid w:val="000B2584"/>
    <w:rsid w:val="000B334F"/>
    <w:rsid w:val="000B45AA"/>
    <w:rsid w:val="000B79B3"/>
    <w:rsid w:val="000C19B8"/>
    <w:rsid w:val="000C2D28"/>
    <w:rsid w:val="000C524A"/>
    <w:rsid w:val="000C640F"/>
    <w:rsid w:val="000C699D"/>
    <w:rsid w:val="000D251E"/>
    <w:rsid w:val="000D715E"/>
    <w:rsid w:val="000D734C"/>
    <w:rsid w:val="000E117C"/>
    <w:rsid w:val="000E1A99"/>
    <w:rsid w:val="000E644B"/>
    <w:rsid w:val="000E6AAA"/>
    <w:rsid w:val="000F17B4"/>
    <w:rsid w:val="000F2E89"/>
    <w:rsid w:val="000F4FA1"/>
    <w:rsid w:val="000F5879"/>
    <w:rsid w:val="000F669B"/>
    <w:rsid w:val="0010414B"/>
    <w:rsid w:val="001055EC"/>
    <w:rsid w:val="001076B9"/>
    <w:rsid w:val="001077DC"/>
    <w:rsid w:val="00111B97"/>
    <w:rsid w:val="00113518"/>
    <w:rsid w:val="00120691"/>
    <w:rsid w:val="001206EF"/>
    <w:rsid w:val="00124F58"/>
    <w:rsid w:val="001301DF"/>
    <w:rsid w:val="00131E4E"/>
    <w:rsid w:val="00132C47"/>
    <w:rsid w:val="0013431C"/>
    <w:rsid w:val="001361E3"/>
    <w:rsid w:val="0014091C"/>
    <w:rsid w:val="0014355A"/>
    <w:rsid w:val="0014403D"/>
    <w:rsid w:val="00146B0F"/>
    <w:rsid w:val="0015068C"/>
    <w:rsid w:val="00150761"/>
    <w:rsid w:val="001531E5"/>
    <w:rsid w:val="00153A3B"/>
    <w:rsid w:val="001542DE"/>
    <w:rsid w:val="001605A0"/>
    <w:rsid w:val="0016372F"/>
    <w:rsid w:val="001641C1"/>
    <w:rsid w:val="00164C7B"/>
    <w:rsid w:val="00164E1E"/>
    <w:rsid w:val="001663AE"/>
    <w:rsid w:val="00166D26"/>
    <w:rsid w:val="0017250D"/>
    <w:rsid w:val="00174209"/>
    <w:rsid w:val="001750E0"/>
    <w:rsid w:val="00176EEF"/>
    <w:rsid w:val="001771C0"/>
    <w:rsid w:val="00181EE3"/>
    <w:rsid w:val="0018596D"/>
    <w:rsid w:val="001863EB"/>
    <w:rsid w:val="00196F51"/>
    <w:rsid w:val="001A3646"/>
    <w:rsid w:val="001A5473"/>
    <w:rsid w:val="001B0E71"/>
    <w:rsid w:val="001B29EB"/>
    <w:rsid w:val="001B475A"/>
    <w:rsid w:val="001B6C00"/>
    <w:rsid w:val="001B7E9B"/>
    <w:rsid w:val="001C1EA3"/>
    <w:rsid w:val="001C4742"/>
    <w:rsid w:val="001C5A39"/>
    <w:rsid w:val="001C7699"/>
    <w:rsid w:val="001D1380"/>
    <w:rsid w:val="001D1B45"/>
    <w:rsid w:val="001D3576"/>
    <w:rsid w:val="001D5CA9"/>
    <w:rsid w:val="001D6862"/>
    <w:rsid w:val="001D7D6A"/>
    <w:rsid w:val="001E008D"/>
    <w:rsid w:val="001E0386"/>
    <w:rsid w:val="001E09D9"/>
    <w:rsid w:val="001E0C5A"/>
    <w:rsid w:val="001E19D5"/>
    <w:rsid w:val="001E2CF6"/>
    <w:rsid w:val="001E479B"/>
    <w:rsid w:val="001F0D65"/>
    <w:rsid w:val="001F11A4"/>
    <w:rsid w:val="001F3599"/>
    <w:rsid w:val="001F3E0C"/>
    <w:rsid w:val="001F7AEE"/>
    <w:rsid w:val="002016AE"/>
    <w:rsid w:val="00201E97"/>
    <w:rsid w:val="00202B7B"/>
    <w:rsid w:val="002049C5"/>
    <w:rsid w:val="00211946"/>
    <w:rsid w:val="00213F57"/>
    <w:rsid w:val="00214DD0"/>
    <w:rsid w:val="00216974"/>
    <w:rsid w:val="00217489"/>
    <w:rsid w:val="002206E8"/>
    <w:rsid w:val="00224140"/>
    <w:rsid w:val="00226503"/>
    <w:rsid w:val="00230103"/>
    <w:rsid w:val="00231AC8"/>
    <w:rsid w:val="00231ECA"/>
    <w:rsid w:val="00233415"/>
    <w:rsid w:val="00250B2A"/>
    <w:rsid w:val="002510E7"/>
    <w:rsid w:val="00254A87"/>
    <w:rsid w:val="0025641D"/>
    <w:rsid w:val="00256442"/>
    <w:rsid w:val="00256F6A"/>
    <w:rsid w:val="0026039E"/>
    <w:rsid w:val="002628DC"/>
    <w:rsid w:val="00264A57"/>
    <w:rsid w:val="00267A53"/>
    <w:rsid w:val="002702FE"/>
    <w:rsid w:val="002733BF"/>
    <w:rsid w:val="002751D2"/>
    <w:rsid w:val="00282118"/>
    <w:rsid w:val="00282A1A"/>
    <w:rsid w:val="00282AFE"/>
    <w:rsid w:val="00287CE6"/>
    <w:rsid w:val="00292AA4"/>
    <w:rsid w:val="00293B22"/>
    <w:rsid w:val="00294D5A"/>
    <w:rsid w:val="00294FB6"/>
    <w:rsid w:val="00295C78"/>
    <w:rsid w:val="00295E85"/>
    <w:rsid w:val="002978F4"/>
    <w:rsid w:val="00297AD1"/>
    <w:rsid w:val="002A0B28"/>
    <w:rsid w:val="002A128C"/>
    <w:rsid w:val="002A4035"/>
    <w:rsid w:val="002A42B0"/>
    <w:rsid w:val="002A5283"/>
    <w:rsid w:val="002A56BC"/>
    <w:rsid w:val="002B023D"/>
    <w:rsid w:val="002B7EA5"/>
    <w:rsid w:val="002C19FA"/>
    <w:rsid w:val="002C24CB"/>
    <w:rsid w:val="002D5091"/>
    <w:rsid w:val="002D62AF"/>
    <w:rsid w:val="002D73B8"/>
    <w:rsid w:val="002E4D5C"/>
    <w:rsid w:val="002E6C96"/>
    <w:rsid w:val="002F0376"/>
    <w:rsid w:val="002F13E5"/>
    <w:rsid w:val="002F1B9A"/>
    <w:rsid w:val="002F3B9C"/>
    <w:rsid w:val="00300E2D"/>
    <w:rsid w:val="00302682"/>
    <w:rsid w:val="003026A2"/>
    <w:rsid w:val="00303824"/>
    <w:rsid w:val="00314840"/>
    <w:rsid w:val="00317880"/>
    <w:rsid w:val="003203FA"/>
    <w:rsid w:val="003205FF"/>
    <w:rsid w:val="00321EC8"/>
    <w:rsid w:val="00322659"/>
    <w:rsid w:val="003305B2"/>
    <w:rsid w:val="00332DE4"/>
    <w:rsid w:val="00337AB0"/>
    <w:rsid w:val="00337E10"/>
    <w:rsid w:val="0034022F"/>
    <w:rsid w:val="00341B3E"/>
    <w:rsid w:val="00351487"/>
    <w:rsid w:val="003539AE"/>
    <w:rsid w:val="003559D7"/>
    <w:rsid w:val="00356B3F"/>
    <w:rsid w:val="00362AAB"/>
    <w:rsid w:val="00367CB1"/>
    <w:rsid w:val="00370F6C"/>
    <w:rsid w:val="00372933"/>
    <w:rsid w:val="00372F40"/>
    <w:rsid w:val="00373B6D"/>
    <w:rsid w:val="003751E2"/>
    <w:rsid w:val="00375CC7"/>
    <w:rsid w:val="003834EF"/>
    <w:rsid w:val="00383D8B"/>
    <w:rsid w:val="0039183D"/>
    <w:rsid w:val="00391C14"/>
    <w:rsid w:val="00392FBA"/>
    <w:rsid w:val="00394BA1"/>
    <w:rsid w:val="003956E5"/>
    <w:rsid w:val="00396E50"/>
    <w:rsid w:val="00397766"/>
    <w:rsid w:val="003A15E7"/>
    <w:rsid w:val="003A2A88"/>
    <w:rsid w:val="003A4812"/>
    <w:rsid w:val="003A497B"/>
    <w:rsid w:val="003A5822"/>
    <w:rsid w:val="003B030A"/>
    <w:rsid w:val="003B35B9"/>
    <w:rsid w:val="003B6AFE"/>
    <w:rsid w:val="003C2C8D"/>
    <w:rsid w:val="003C33E8"/>
    <w:rsid w:val="003C5E57"/>
    <w:rsid w:val="003C703A"/>
    <w:rsid w:val="003D4B2C"/>
    <w:rsid w:val="003D7840"/>
    <w:rsid w:val="003F0FDF"/>
    <w:rsid w:val="003F4BDE"/>
    <w:rsid w:val="003F512B"/>
    <w:rsid w:val="003F5E08"/>
    <w:rsid w:val="00400814"/>
    <w:rsid w:val="00401619"/>
    <w:rsid w:val="004032C1"/>
    <w:rsid w:val="00407637"/>
    <w:rsid w:val="004120E2"/>
    <w:rsid w:val="00415CC3"/>
    <w:rsid w:val="00425FF4"/>
    <w:rsid w:val="00430D77"/>
    <w:rsid w:val="004312CF"/>
    <w:rsid w:val="0043141A"/>
    <w:rsid w:val="00433EE8"/>
    <w:rsid w:val="00441F50"/>
    <w:rsid w:val="00441F85"/>
    <w:rsid w:val="0044795F"/>
    <w:rsid w:val="00452E65"/>
    <w:rsid w:val="00454315"/>
    <w:rsid w:val="00454B8B"/>
    <w:rsid w:val="004643ED"/>
    <w:rsid w:val="0046718C"/>
    <w:rsid w:val="00467508"/>
    <w:rsid w:val="00467595"/>
    <w:rsid w:val="00471A9A"/>
    <w:rsid w:val="00473EB7"/>
    <w:rsid w:val="004761AF"/>
    <w:rsid w:val="00477304"/>
    <w:rsid w:val="004803CC"/>
    <w:rsid w:val="00480FCA"/>
    <w:rsid w:val="00481340"/>
    <w:rsid w:val="00481490"/>
    <w:rsid w:val="0048203B"/>
    <w:rsid w:val="00482348"/>
    <w:rsid w:val="0048241E"/>
    <w:rsid w:val="00485A4C"/>
    <w:rsid w:val="00487931"/>
    <w:rsid w:val="00490E57"/>
    <w:rsid w:val="004939F0"/>
    <w:rsid w:val="00493CDB"/>
    <w:rsid w:val="00494AA1"/>
    <w:rsid w:val="00496461"/>
    <w:rsid w:val="00496A15"/>
    <w:rsid w:val="004A00E3"/>
    <w:rsid w:val="004A6393"/>
    <w:rsid w:val="004A698D"/>
    <w:rsid w:val="004A7153"/>
    <w:rsid w:val="004B10C8"/>
    <w:rsid w:val="004B1676"/>
    <w:rsid w:val="004B3739"/>
    <w:rsid w:val="004B3A5F"/>
    <w:rsid w:val="004B6845"/>
    <w:rsid w:val="004B6F3C"/>
    <w:rsid w:val="004B791D"/>
    <w:rsid w:val="004B7B3F"/>
    <w:rsid w:val="004B7C3B"/>
    <w:rsid w:val="004C10FE"/>
    <w:rsid w:val="004C250E"/>
    <w:rsid w:val="004C27B6"/>
    <w:rsid w:val="004C4E76"/>
    <w:rsid w:val="004D0347"/>
    <w:rsid w:val="004D13A4"/>
    <w:rsid w:val="004D53B6"/>
    <w:rsid w:val="004D7E4B"/>
    <w:rsid w:val="004E0A6B"/>
    <w:rsid w:val="004E1489"/>
    <w:rsid w:val="004E17F3"/>
    <w:rsid w:val="004E3F57"/>
    <w:rsid w:val="004E585C"/>
    <w:rsid w:val="004E5B7D"/>
    <w:rsid w:val="004E655D"/>
    <w:rsid w:val="004E7767"/>
    <w:rsid w:val="004F0F16"/>
    <w:rsid w:val="004F2F93"/>
    <w:rsid w:val="004F372B"/>
    <w:rsid w:val="004F38FE"/>
    <w:rsid w:val="004F758C"/>
    <w:rsid w:val="004F7914"/>
    <w:rsid w:val="004F7C44"/>
    <w:rsid w:val="0050051E"/>
    <w:rsid w:val="00502C12"/>
    <w:rsid w:val="00504C03"/>
    <w:rsid w:val="00505067"/>
    <w:rsid w:val="00505A4E"/>
    <w:rsid w:val="005073CF"/>
    <w:rsid w:val="005105EA"/>
    <w:rsid w:val="00511C4D"/>
    <w:rsid w:val="00513557"/>
    <w:rsid w:val="005150C9"/>
    <w:rsid w:val="00515BBF"/>
    <w:rsid w:val="00516441"/>
    <w:rsid w:val="00516E68"/>
    <w:rsid w:val="005172FE"/>
    <w:rsid w:val="00517C86"/>
    <w:rsid w:val="00520FA4"/>
    <w:rsid w:val="00521391"/>
    <w:rsid w:val="005220BC"/>
    <w:rsid w:val="00522858"/>
    <w:rsid w:val="00524E1D"/>
    <w:rsid w:val="0052650A"/>
    <w:rsid w:val="00527649"/>
    <w:rsid w:val="005279E8"/>
    <w:rsid w:val="005325B4"/>
    <w:rsid w:val="0053385B"/>
    <w:rsid w:val="00536B82"/>
    <w:rsid w:val="0054263E"/>
    <w:rsid w:val="005463E0"/>
    <w:rsid w:val="0054739F"/>
    <w:rsid w:val="00551911"/>
    <w:rsid w:val="00551920"/>
    <w:rsid w:val="00552A0E"/>
    <w:rsid w:val="00552B7F"/>
    <w:rsid w:val="005540CE"/>
    <w:rsid w:val="00554A6E"/>
    <w:rsid w:val="00560B0C"/>
    <w:rsid w:val="00562B5C"/>
    <w:rsid w:val="00563D53"/>
    <w:rsid w:val="00565F73"/>
    <w:rsid w:val="0056750E"/>
    <w:rsid w:val="00567980"/>
    <w:rsid w:val="005679E4"/>
    <w:rsid w:val="00571490"/>
    <w:rsid w:val="005760BF"/>
    <w:rsid w:val="00576831"/>
    <w:rsid w:val="00577624"/>
    <w:rsid w:val="00577ABF"/>
    <w:rsid w:val="00585BCF"/>
    <w:rsid w:val="00585ED0"/>
    <w:rsid w:val="005916D2"/>
    <w:rsid w:val="00591B11"/>
    <w:rsid w:val="00595C35"/>
    <w:rsid w:val="00595DA7"/>
    <w:rsid w:val="00595ED2"/>
    <w:rsid w:val="005A6091"/>
    <w:rsid w:val="005A61E4"/>
    <w:rsid w:val="005B1E55"/>
    <w:rsid w:val="005B6E10"/>
    <w:rsid w:val="005B6F12"/>
    <w:rsid w:val="005C0DCB"/>
    <w:rsid w:val="005C46B0"/>
    <w:rsid w:val="005C584D"/>
    <w:rsid w:val="005C59D9"/>
    <w:rsid w:val="005D173F"/>
    <w:rsid w:val="005D17BC"/>
    <w:rsid w:val="005D4B42"/>
    <w:rsid w:val="005D655F"/>
    <w:rsid w:val="005D6811"/>
    <w:rsid w:val="005D6B64"/>
    <w:rsid w:val="005E0382"/>
    <w:rsid w:val="005E0E4A"/>
    <w:rsid w:val="005E1D3C"/>
    <w:rsid w:val="005E1DE9"/>
    <w:rsid w:val="005E5E78"/>
    <w:rsid w:val="005F11EA"/>
    <w:rsid w:val="005F4548"/>
    <w:rsid w:val="005F4A02"/>
    <w:rsid w:val="005F5D93"/>
    <w:rsid w:val="00603AAD"/>
    <w:rsid w:val="00604208"/>
    <w:rsid w:val="00604E5C"/>
    <w:rsid w:val="006075BD"/>
    <w:rsid w:val="006120DA"/>
    <w:rsid w:val="00617E98"/>
    <w:rsid w:val="00622F53"/>
    <w:rsid w:val="006309B9"/>
    <w:rsid w:val="00640913"/>
    <w:rsid w:val="00641842"/>
    <w:rsid w:val="00650A99"/>
    <w:rsid w:val="00652CEE"/>
    <w:rsid w:val="0065485A"/>
    <w:rsid w:val="00664223"/>
    <w:rsid w:val="00670BA5"/>
    <w:rsid w:val="00670D69"/>
    <w:rsid w:val="00674492"/>
    <w:rsid w:val="0067483D"/>
    <w:rsid w:val="006753C6"/>
    <w:rsid w:val="00676443"/>
    <w:rsid w:val="006807AC"/>
    <w:rsid w:val="00682367"/>
    <w:rsid w:val="00685EF4"/>
    <w:rsid w:val="006879BE"/>
    <w:rsid w:val="00690E68"/>
    <w:rsid w:val="00691813"/>
    <w:rsid w:val="006928D1"/>
    <w:rsid w:val="00692975"/>
    <w:rsid w:val="006948C5"/>
    <w:rsid w:val="00697D59"/>
    <w:rsid w:val="006A0029"/>
    <w:rsid w:val="006A05D6"/>
    <w:rsid w:val="006A0F41"/>
    <w:rsid w:val="006A5990"/>
    <w:rsid w:val="006A5FCB"/>
    <w:rsid w:val="006A6FC6"/>
    <w:rsid w:val="006A7118"/>
    <w:rsid w:val="006A72BA"/>
    <w:rsid w:val="006A75AC"/>
    <w:rsid w:val="006B0537"/>
    <w:rsid w:val="006B5985"/>
    <w:rsid w:val="006B5999"/>
    <w:rsid w:val="006B765E"/>
    <w:rsid w:val="006C7116"/>
    <w:rsid w:val="006D2B4A"/>
    <w:rsid w:val="006D569B"/>
    <w:rsid w:val="006D7C83"/>
    <w:rsid w:val="006E21C8"/>
    <w:rsid w:val="006E4583"/>
    <w:rsid w:val="006E5817"/>
    <w:rsid w:val="006F03F4"/>
    <w:rsid w:val="006F26B2"/>
    <w:rsid w:val="006F58C5"/>
    <w:rsid w:val="006F7B44"/>
    <w:rsid w:val="00700DA8"/>
    <w:rsid w:val="00700DB0"/>
    <w:rsid w:val="0070120A"/>
    <w:rsid w:val="00702901"/>
    <w:rsid w:val="007042C0"/>
    <w:rsid w:val="0070483E"/>
    <w:rsid w:val="007050ED"/>
    <w:rsid w:val="007057E8"/>
    <w:rsid w:val="007062D9"/>
    <w:rsid w:val="00706545"/>
    <w:rsid w:val="00707F65"/>
    <w:rsid w:val="00712F01"/>
    <w:rsid w:val="00713F75"/>
    <w:rsid w:val="00717687"/>
    <w:rsid w:val="00721A74"/>
    <w:rsid w:val="00725E02"/>
    <w:rsid w:val="00726264"/>
    <w:rsid w:val="0073154E"/>
    <w:rsid w:val="007344EA"/>
    <w:rsid w:val="00735592"/>
    <w:rsid w:val="00736B63"/>
    <w:rsid w:val="00741448"/>
    <w:rsid w:val="007430EF"/>
    <w:rsid w:val="00743253"/>
    <w:rsid w:val="00743E1A"/>
    <w:rsid w:val="00745063"/>
    <w:rsid w:val="00745F39"/>
    <w:rsid w:val="00747180"/>
    <w:rsid w:val="00751860"/>
    <w:rsid w:val="00761E5D"/>
    <w:rsid w:val="00762866"/>
    <w:rsid w:val="00762EF0"/>
    <w:rsid w:val="00763FDB"/>
    <w:rsid w:val="007641A0"/>
    <w:rsid w:val="00766EC2"/>
    <w:rsid w:val="00767FB9"/>
    <w:rsid w:val="00770276"/>
    <w:rsid w:val="00770874"/>
    <w:rsid w:val="00770887"/>
    <w:rsid w:val="00770ADC"/>
    <w:rsid w:val="00771928"/>
    <w:rsid w:val="007731C6"/>
    <w:rsid w:val="00773282"/>
    <w:rsid w:val="00773547"/>
    <w:rsid w:val="00775756"/>
    <w:rsid w:val="00776215"/>
    <w:rsid w:val="007828B7"/>
    <w:rsid w:val="00782F33"/>
    <w:rsid w:val="0078344D"/>
    <w:rsid w:val="007857D0"/>
    <w:rsid w:val="007877F3"/>
    <w:rsid w:val="00790020"/>
    <w:rsid w:val="00790739"/>
    <w:rsid w:val="00792612"/>
    <w:rsid w:val="00796DDA"/>
    <w:rsid w:val="007A35B9"/>
    <w:rsid w:val="007A4D8D"/>
    <w:rsid w:val="007B2470"/>
    <w:rsid w:val="007B4882"/>
    <w:rsid w:val="007B5621"/>
    <w:rsid w:val="007B5998"/>
    <w:rsid w:val="007B6AD6"/>
    <w:rsid w:val="007B6F76"/>
    <w:rsid w:val="007B70F7"/>
    <w:rsid w:val="007C336F"/>
    <w:rsid w:val="007C4270"/>
    <w:rsid w:val="007C450B"/>
    <w:rsid w:val="007C4578"/>
    <w:rsid w:val="007C532D"/>
    <w:rsid w:val="007D411F"/>
    <w:rsid w:val="007E1795"/>
    <w:rsid w:val="007E35B4"/>
    <w:rsid w:val="007E45F2"/>
    <w:rsid w:val="007E5237"/>
    <w:rsid w:val="007F2F30"/>
    <w:rsid w:val="007F37C0"/>
    <w:rsid w:val="007F40C8"/>
    <w:rsid w:val="007F5A79"/>
    <w:rsid w:val="007F6500"/>
    <w:rsid w:val="007F7858"/>
    <w:rsid w:val="007F7C04"/>
    <w:rsid w:val="00800EA9"/>
    <w:rsid w:val="008032B9"/>
    <w:rsid w:val="008036D7"/>
    <w:rsid w:val="00804D2D"/>
    <w:rsid w:val="00805925"/>
    <w:rsid w:val="00806566"/>
    <w:rsid w:val="00807EFC"/>
    <w:rsid w:val="00810084"/>
    <w:rsid w:val="00811831"/>
    <w:rsid w:val="008120FD"/>
    <w:rsid w:val="00815CEE"/>
    <w:rsid w:val="00815D0B"/>
    <w:rsid w:val="008165BB"/>
    <w:rsid w:val="008175B2"/>
    <w:rsid w:val="00817D8E"/>
    <w:rsid w:val="00820529"/>
    <w:rsid w:val="00820A3F"/>
    <w:rsid w:val="00821C06"/>
    <w:rsid w:val="00821EDD"/>
    <w:rsid w:val="00826FF2"/>
    <w:rsid w:val="00827082"/>
    <w:rsid w:val="0083178E"/>
    <w:rsid w:val="00832014"/>
    <w:rsid w:val="00836C5C"/>
    <w:rsid w:val="008375EB"/>
    <w:rsid w:val="008442CE"/>
    <w:rsid w:val="008445AE"/>
    <w:rsid w:val="00844F12"/>
    <w:rsid w:val="0084571C"/>
    <w:rsid w:val="00852E16"/>
    <w:rsid w:val="0085709B"/>
    <w:rsid w:val="00857DE1"/>
    <w:rsid w:val="00862E28"/>
    <w:rsid w:val="008646D2"/>
    <w:rsid w:val="008647D1"/>
    <w:rsid w:val="00865165"/>
    <w:rsid w:val="00865411"/>
    <w:rsid w:val="00870C3E"/>
    <w:rsid w:val="0087308F"/>
    <w:rsid w:val="0087506E"/>
    <w:rsid w:val="008751D9"/>
    <w:rsid w:val="008761A0"/>
    <w:rsid w:val="00876444"/>
    <w:rsid w:val="00881C9C"/>
    <w:rsid w:val="0088732D"/>
    <w:rsid w:val="00896EAD"/>
    <w:rsid w:val="008A0307"/>
    <w:rsid w:val="008A3FB8"/>
    <w:rsid w:val="008A5D7F"/>
    <w:rsid w:val="008B0625"/>
    <w:rsid w:val="008B0A18"/>
    <w:rsid w:val="008B30C9"/>
    <w:rsid w:val="008B7176"/>
    <w:rsid w:val="008C00FD"/>
    <w:rsid w:val="008C11BF"/>
    <w:rsid w:val="008C2780"/>
    <w:rsid w:val="008C2EA2"/>
    <w:rsid w:val="008C73D6"/>
    <w:rsid w:val="008C7A2F"/>
    <w:rsid w:val="008D04FA"/>
    <w:rsid w:val="008E2ADB"/>
    <w:rsid w:val="008E40B7"/>
    <w:rsid w:val="008E6775"/>
    <w:rsid w:val="008E78EB"/>
    <w:rsid w:val="008F57E4"/>
    <w:rsid w:val="008F6815"/>
    <w:rsid w:val="00901C37"/>
    <w:rsid w:val="00902FDE"/>
    <w:rsid w:val="009058D0"/>
    <w:rsid w:val="00907660"/>
    <w:rsid w:val="00913AD5"/>
    <w:rsid w:val="00914565"/>
    <w:rsid w:val="009148E7"/>
    <w:rsid w:val="00915224"/>
    <w:rsid w:val="00926286"/>
    <w:rsid w:val="00926317"/>
    <w:rsid w:val="00926B45"/>
    <w:rsid w:val="0093138C"/>
    <w:rsid w:val="00933184"/>
    <w:rsid w:val="00934CE3"/>
    <w:rsid w:val="00942F02"/>
    <w:rsid w:val="00943029"/>
    <w:rsid w:val="0094723D"/>
    <w:rsid w:val="00950A8A"/>
    <w:rsid w:val="009531E2"/>
    <w:rsid w:val="00953438"/>
    <w:rsid w:val="00956098"/>
    <w:rsid w:val="009606B3"/>
    <w:rsid w:val="00961788"/>
    <w:rsid w:val="0096241A"/>
    <w:rsid w:val="00966EAD"/>
    <w:rsid w:val="00973D1A"/>
    <w:rsid w:val="0097536C"/>
    <w:rsid w:val="0097627C"/>
    <w:rsid w:val="0098143F"/>
    <w:rsid w:val="00982549"/>
    <w:rsid w:val="009848DF"/>
    <w:rsid w:val="00986F71"/>
    <w:rsid w:val="00990B51"/>
    <w:rsid w:val="0099278C"/>
    <w:rsid w:val="00996A17"/>
    <w:rsid w:val="009A236F"/>
    <w:rsid w:val="009A3F4E"/>
    <w:rsid w:val="009A5596"/>
    <w:rsid w:val="009A67EB"/>
    <w:rsid w:val="009A7AA1"/>
    <w:rsid w:val="009B2860"/>
    <w:rsid w:val="009B2FAE"/>
    <w:rsid w:val="009B38B1"/>
    <w:rsid w:val="009B4265"/>
    <w:rsid w:val="009B7AC7"/>
    <w:rsid w:val="009C0615"/>
    <w:rsid w:val="009C3106"/>
    <w:rsid w:val="009C3354"/>
    <w:rsid w:val="009C5C1A"/>
    <w:rsid w:val="009C7A81"/>
    <w:rsid w:val="009C7C0D"/>
    <w:rsid w:val="009D4B99"/>
    <w:rsid w:val="009D7ECE"/>
    <w:rsid w:val="009E0CF7"/>
    <w:rsid w:val="009E5D05"/>
    <w:rsid w:val="009F0492"/>
    <w:rsid w:val="009F0FBE"/>
    <w:rsid w:val="009F2029"/>
    <w:rsid w:val="009F248B"/>
    <w:rsid w:val="009F6412"/>
    <w:rsid w:val="00A006DE"/>
    <w:rsid w:val="00A0382D"/>
    <w:rsid w:val="00A05791"/>
    <w:rsid w:val="00A05F58"/>
    <w:rsid w:val="00A07EF9"/>
    <w:rsid w:val="00A11B42"/>
    <w:rsid w:val="00A13AE4"/>
    <w:rsid w:val="00A258F0"/>
    <w:rsid w:val="00A329EF"/>
    <w:rsid w:val="00A34FD5"/>
    <w:rsid w:val="00A36083"/>
    <w:rsid w:val="00A36A80"/>
    <w:rsid w:val="00A43CD6"/>
    <w:rsid w:val="00A44621"/>
    <w:rsid w:val="00A47C6A"/>
    <w:rsid w:val="00A47CA0"/>
    <w:rsid w:val="00A54B0D"/>
    <w:rsid w:val="00A566FE"/>
    <w:rsid w:val="00A57CC2"/>
    <w:rsid w:val="00A6251D"/>
    <w:rsid w:val="00A654D7"/>
    <w:rsid w:val="00A65971"/>
    <w:rsid w:val="00A66750"/>
    <w:rsid w:val="00A70182"/>
    <w:rsid w:val="00A70BA7"/>
    <w:rsid w:val="00A72A13"/>
    <w:rsid w:val="00A744EC"/>
    <w:rsid w:val="00A7495A"/>
    <w:rsid w:val="00A752C7"/>
    <w:rsid w:val="00A77968"/>
    <w:rsid w:val="00A839F4"/>
    <w:rsid w:val="00A85837"/>
    <w:rsid w:val="00A926CE"/>
    <w:rsid w:val="00A9371D"/>
    <w:rsid w:val="00A97894"/>
    <w:rsid w:val="00A97CAD"/>
    <w:rsid w:val="00A97FDD"/>
    <w:rsid w:val="00AA0FB7"/>
    <w:rsid w:val="00AA1AA1"/>
    <w:rsid w:val="00AA1C68"/>
    <w:rsid w:val="00AA5D20"/>
    <w:rsid w:val="00AA690A"/>
    <w:rsid w:val="00AA75DD"/>
    <w:rsid w:val="00AB37B1"/>
    <w:rsid w:val="00AB4FFD"/>
    <w:rsid w:val="00AC2164"/>
    <w:rsid w:val="00AC2B0C"/>
    <w:rsid w:val="00AC4815"/>
    <w:rsid w:val="00AC4CBD"/>
    <w:rsid w:val="00AC4EE0"/>
    <w:rsid w:val="00AC6DD0"/>
    <w:rsid w:val="00AD0C4B"/>
    <w:rsid w:val="00AD3A74"/>
    <w:rsid w:val="00AD56DB"/>
    <w:rsid w:val="00AD5C4D"/>
    <w:rsid w:val="00AD7A50"/>
    <w:rsid w:val="00AE23D3"/>
    <w:rsid w:val="00AE45E6"/>
    <w:rsid w:val="00AE7B84"/>
    <w:rsid w:val="00AF00AF"/>
    <w:rsid w:val="00AF217C"/>
    <w:rsid w:val="00AF5E1D"/>
    <w:rsid w:val="00AF7171"/>
    <w:rsid w:val="00AF71D3"/>
    <w:rsid w:val="00B03E66"/>
    <w:rsid w:val="00B07062"/>
    <w:rsid w:val="00B10F99"/>
    <w:rsid w:val="00B11E2E"/>
    <w:rsid w:val="00B1396D"/>
    <w:rsid w:val="00B179EC"/>
    <w:rsid w:val="00B17D06"/>
    <w:rsid w:val="00B212CE"/>
    <w:rsid w:val="00B229DE"/>
    <w:rsid w:val="00B24C81"/>
    <w:rsid w:val="00B24EC6"/>
    <w:rsid w:val="00B258AA"/>
    <w:rsid w:val="00B26183"/>
    <w:rsid w:val="00B33ABA"/>
    <w:rsid w:val="00B36BB2"/>
    <w:rsid w:val="00B401FB"/>
    <w:rsid w:val="00B430BE"/>
    <w:rsid w:val="00B44FE7"/>
    <w:rsid w:val="00B51E12"/>
    <w:rsid w:val="00B5275F"/>
    <w:rsid w:val="00B57DCE"/>
    <w:rsid w:val="00B62473"/>
    <w:rsid w:val="00B63D83"/>
    <w:rsid w:val="00B6483D"/>
    <w:rsid w:val="00B65E8C"/>
    <w:rsid w:val="00B7361A"/>
    <w:rsid w:val="00B74F06"/>
    <w:rsid w:val="00B761E4"/>
    <w:rsid w:val="00B76887"/>
    <w:rsid w:val="00B76DC7"/>
    <w:rsid w:val="00B8182A"/>
    <w:rsid w:val="00B82557"/>
    <w:rsid w:val="00B83B9D"/>
    <w:rsid w:val="00B83BF2"/>
    <w:rsid w:val="00B8540B"/>
    <w:rsid w:val="00B864A6"/>
    <w:rsid w:val="00B9099F"/>
    <w:rsid w:val="00B92753"/>
    <w:rsid w:val="00B94319"/>
    <w:rsid w:val="00B97B3B"/>
    <w:rsid w:val="00BA1DE4"/>
    <w:rsid w:val="00BA2203"/>
    <w:rsid w:val="00BA2D04"/>
    <w:rsid w:val="00BA3E16"/>
    <w:rsid w:val="00BA4F3D"/>
    <w:rsid w:val="00BA5EC8"/>
    <w:rsid w:val="00BB0B2C"/>
    <w:rsid w:val="00BB226F"/>
    <w:rsid w:val="00BB2EB5"/>
    <w:rsid w:val="00BB3D88"/>
    <w:rsid w:val="00BB6186"/>
    <w:rsid w:val="00BC2190"/>
    <w:rsid w:val="00BC265C"/>
    <w:rsid w:val="00BC3C07"/>
    <w:rsid w:val="00BD34BB"/>
    <w:rsid w:val="00BD39F4"/>
    <w:rsid w:val="00BD4C82"/>
    <w:rsid w:val="00BE1C07"/>
    <w:rsid w:val="00BE325A"/>
    <w:rsid w:val="00BE515D"/>
    <w:rsid w:val="00BF3F76"/>
    <w:rsid w:val="00BF5E4B"/>
    <w:rsid w:val="00C00289"/>
    <w:rsid w:val="00C01693"/>
    <w:rsid w:val="00C035EB"/>
    <w:rsid w:val="00C0395D"/>
    <w:rsid w:val="00C03A42"/>
    <w:rsid w:val="00C0423C"/>
    <w:rsid w:val="00C05786"/>
    <w:rsid w:val="00C10AAC"/>
    <w:rsid w:val="00C10C2B"/>
    <w:rsid w:val="00C12F15"/>
    <w:rsid w:val="00C142B1"/>
    <w:rsid w:val="00C20CA8"/>
    <w:rsid w:val="00C20E26"/>
    <w:rsid w:val="00C22DBE"/>
    <w:rsid w:val="00C24542"/>
    <w:rsid w:val="00C276A2"/>
    <w:rsid w:val="00C32B9A"/>
    <w:rsid w:val="00C32E28"/>
    <w:rsid w:val="00C3332E"/>
    <w:rsid w:val="00C334D1"/>
    <w:rsid w:val="00C36BE7"/>
    <w:rsid w:val="00C37A7B"/>
    <w:rsid w:val="00C43064"/>
    <w:rsid w:val="00C46A08"/>
    <w:rsid w:val="00C47D9E"/>
    <w:rsid w:val="00C51797"/>
    <w:rsid w:val="00C52DFE"/>
    <w:rsid w:val="00C541A9"/>
    <w:rsid w:val="00C54674"/>
    <w:rsid w:val="00C54A4A"/>
    <w:rsid w:val="00C55945"/>
    <w:rsid w:val="00C56A9B"/>
    <w:rsid w:val="00C572C4"/>
    <w:rsid w:val="00C65605"/>
    <w:rsid w:val="00C6685D"/>
    <w:rsid w:val="00C70370"/>
    <w:rsid w:val="00C70B40"/>
    <w:rsid w:val="00C72CA5"/>
    <w:rsid w:val="00C72D32"/>
    <w:rsid w:val="00C769E0"/>
    <w:rsid w:val="00C86CA5"/>
    <w:rsid w:val="00CA1EFC"/>
    <w:rsid w:val="00CA5E43"/>
    <w:rsid w:val="00CA637D"/>
    <w:rsid w:val="00CA669B"/>
    <w:rsid w:val="00CA6D9C"/>
    <w:rsid w:val="00CA76CA"/>
    <w:rsid w:val="00CB47E0"/>
    <w:rsid w:val="00CB6457"/>
    <w:rsid w:val="00CB6D39"/>
    <w:rsid w:val="00CC0170"/>
    <w:rsid w:val="00CC59C1"/>
    <w:rsid w:val="00CC74DC"/>
    <w:rsid w:val="00CD0570"/>
    <w:rsid w:val="00CD3A6C"/>
    <w:rsid w:val="00CE3386"/>
    <w:rsid w:val="00CE6524"/>
    <w:rsid w:val="00CF0493"/>
    <w:rsid w:val="00CF11FD"/>
    <w:rsid w:val="00CF7230"/>
    <w:rsid w:val="00D02D35"/>
    <w:rsid w:val="00D03B46"/>
    <w:rsid w:val="00D05FE1"/>
    <w:rsid w:val="00D200BE"/>
    <w:rsid w:val="00D204CE"/>
    <w:rsid w:val="00D23393"/>
    <w:rsid w:val="00D27BCA"/>
    <w:rsid w:val="00D33A0E"/>
    <w:rsid w:val="00D34898"/>
    <w:rsid w:val="00D373F0"/>
    <w:rsid w:val="00D37BAF"/>
    <w:rsid w:val="00D42439"/>
    <w:rsid w:val="00D44B0C"/>
    <w:rsid w:val="00D4672B"/>
    <w:rsid w:val="00D47B0A"/>
    <w:rsid w:val="00D51763"/>
    <w:rsid w:val="00D534DF"/>
    <w:rsid w:val="00D613CB"/>
    <w:rsid w:val="00D62647"/>
    <w:rsid w:val="00D65EB0"/>
    <w:rsid w:val="00D718F8"/>
    <w:rsid w:val="00D71C09"/>
    <w:rsid w:val="00D76FA2"/>
    <w:rsid w:val="00D774B6"/>
    <w:rsid w:val="00D86264"/>
    <w:rsid w:val="00D95BCE"/>
    <w:rsid w:val="00D9794C"/>
    <w:rsid w:val="00DA07E0"/>
    <w:rsid w:val="00DA12F2"/>
    <w:rsid w:val="00DA6502"/>
    <w:rsid w:val="00DB7F92"/>
    <w:rsid w:val="00DC5A57"/>
    <w:rsid w:val="00DD0981"/>
    <w:rsid w:val="00DD0F92"/>
    <w:rsid w:val="00DD5CA9"/>
    <w:rsid w:val="00DD6F21"/>
    <w:rsid w:val="00DD7B6A"/>
    <w:rsid w:val="00DE4790"/>
    <w:rsid w:val="00DE4F3C"/>
    <w:rsid w:val="00DE59DF"/>
    <w:rsid w:val="00DF05CB"/>
    <w:rsid w:val="00DF220C"/>
    <w:rsid w:val="00DF240E"/>
    <w:rsid w:val="00DF4D29"/>
    <w:rsid w:val="00DF6119"/>
    <w:rsid w:val="00E00EAB"/>
    <w:rsid w:val="00E0299E"/>
    <w:rsid w:val="00E058B1"/>
    <w:rsid w:val="00E10692"/>
    <w:rsid w:val="00E111B6"/>
    <w:rsid w:val="00E14628"/>
    <w:rsid w:val="00E15028"/>
    <w:rsid w:val="00E15E67"/>
    <w:rsid w:val="00E2010C"/>
    <w:rsid w:val="00E21B5E"/>
    <w:rsid w:val="00E2269A"/>
    <w:rsid w:val="00E255C8"/>
    <w:rsid w:val="00E27D3B"/>
    <w:rsid w:val="00E30E3E"/>
    <w:rsid w:val="00E3143C"/>
    <w:rsid w:val="00E319A8"/>
    <w:rsid w:val="00E31AA7"/>
    <w:rsid w:val="00E324E3"/>
    <w:rsid w:val="00E35F1F"/>
    <w:rsid w:val="00E37D46"/>
    <w:rsid w:val="00E40368"/>
    <w:rsid w:val="00E4268B"/>
    <w:rsid w:val="00E42DEF"/>
    <w:rsid w:val="00E438FA"/>
    <w:rsid w:val="00E44E11"/>
    <w:rsid w:val="00E508CB"/>
    <w:rsid w:val="00E52376"/>
    <w:rsid w:val="00E535D9"/>
    <w:rsid w:val="00E55115"/>
    <w:rsid w:val="00E562E9"/>
    <w:rsid w:val="00E566A8"/>
    <w:rsid w:val="00E56795"/>
    <w:rsid w:val="00E60742"/>
    <w:rsid w:val="00E62630"/>
    <w:rsid w:val="00E71D96"/>
    <w:rsid w:val="00E745B9"/>
    <w:rsid w:val="00E80BDE"/>
    <w:rsid w:val="00E80CF1"/>
    <w:rsid w:val="00E85A59"/>
    <w:rsid w:val="00E95500"/>
    <w:rsid w:val="00EA0EA6"/>
    <w:rsid w:val="00EA16AE"/>
    <w:rsid w:val="00EA2D36"/>
    <w:rsid w:val="00EA3144"/>
    <w:rsid w:val="00EA4545"/>
    <w:rsid w:val="00EA542C"/>
    <w:rsid w:val="00EA6661"/>
    <w:rsid w:val="00EA7A00"/>
    <w:rsid w:val="00EB0D83"/>
    <w:rsid w:val="00EB230A"/>
    <w:rsid w:val="00EC14DD"/>
    <w:rsid w:val="00EC2A11"/>
    <w:rsid w:val="00EC36EF"/>
    <w:rsid w:val="00EC3FCA"/>
    <w:rsid w:val="00ED18CB"/>
    <w:rsid w:val="00EE23CA"/>
    <w:rsid w:val="00EE272E"/>
    <w:rsid w:val="00EE30F0"/>
    <w:rsid w:val="00EE40F7"/>
    <w:rsid w:val="00EE543C"/>
    <w:rsid w:val="00EF0F9F"/>
    <w:rsid w:val="00EF1F54"/>
    <w:rsid w:val="00EF4447"/>
    <w:rsid w:val="00EF51FE"/>
    <w:rsid w:val="00EF645F"/>
    <w:rsid w:val="00EF7F03"/>
    <w:rsid w:val="00F06007"/>
    <w:rsid w:val="00F067EF"/>
    <w:rsid w:val="00F06B21"/>
    <w:rsid w:val="00F10463"/>
    <w:rsid w:val="00F12D1C"/>
    <w:rsid w:val="00F14B06"/>
    <w:rsid w:val="00F21145"/>
    <w:rsid w:val="00F237C2"/>
    <w:rsid w:val="00F33B1A"/>
    <w:rsid w:val="00F343E9"/>
    <w:rsid w:val="00F344D5"/>
    <w:rsid w:val="00F413A2"/>
    <w:rsid w:val="00F41E22"/>
    <w:rsid w:val="00F437B7"/>
    <w:rsid w:val="00F50DE8"/>
    <w:rsid w:val="00F5220F"/>
    <w:rsid w:val="00F525B8"/>
    <w:rsid w:val="00F53DF6"/>
    <w:rsid w:val="00F57D5F"/>
    <w:rsid w:val="00F64422"/>
    <w:rsid w:val="00F73758"/>
    <w:rsid w:val="00F74A4C"/>
    <w:rsid w:val="00F766D0"/>
    <w:rsid w:val="00F76822"/>
    <w:rsid w:val="00F77DD0"/>
    <w:rsid w:val="00F80927"/>
    <w:rsid w:val="00F832D1"/>
    <w:rsid w:val="00F83E8B"/>
    <w:rsid w:val="00F84B99"/>
    <w:rsid w:val="00F8609F"/>
    <w:rsid w:val="00F86B59"/>
    <w:rsid w:val="00F95E8D"/>
    <w:rsid w:val="00FA240A"/>
    <w:rsid w:val="00FA47DA"/>
    <w:rsid w:val="00FA4824"/>
    <w:rsid w:val="00FA4922"/>
    <w:rsid w:val="00FA4C6D"/>
    <w:rsid w:val="00FB1D70"/>
    <w:rsid w:val="00FB2024"/>
    <w:rsid w:val="00FC3737"/>
    <w:rsid w:val="00FC413F"/>
    <w:rsid w:val="00FC66AC"/>
    <w:rsid w:val="00FD082E"/>
    <w:rsid w:val="00FD0FB5"/>
    <w:rsid w:val="00FD1869"/>
    <w:rsid w:val="00FD52EC"/>
    <w:rsid w:val="00FD53F7"/>
    <w:rsid w:val="00FD777A"/>
    <w:rsid w:val="00FE090E"/>
    <w:rsid w:val="00FE1ACA"/>
    <w:rsid w:val="00FE1BB9"/>
    <w:rsid w:val="00FE3B2D"/>
    <w:rsid w:val="00FE5384"/>
    <w:rsid w:val="00FF4F90"/>
    <w:rsid w:val="00FF5E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Ttulo">
    <w:name w:val="Title"/>
    <w:basedOn w:val="Normal"/>
    <w:link w:val="Ttul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TtuloCar">
    <w:name w:val="Título Car"/>
    <w:basedOn w:val="Fuentedeprrafopredeter"/>
    <w:link w:val="Ttul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before="100" w:after="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2AF"/>
    <w:rPr>
      <w:rFonts w:ascii="Arial" w:eastAsia="Arial" w:hAnsi="Arial" w:cs="Arial"/>
      <w:color w:val="000000"/>
      <w:lang w:eastAsia="es-CO"/>
    </w:rPr>
  </w:style>
  <w:style w:type="paragraph" w:styleId="Ttulo1">
    <w:name w:val="heading 1"/>
    <w:basedOn w:val="Normal"/>
    <w:next w:val="Normal"/>
    <w:link w:val="Ttulo1Car"/>
    <w:qFormat/>
    <w:rsid w:val="003A5822"/>
    <w:pPr>
      <w:keepNext/>
      <w:overflowPunct w:val="0"/>
      <w:autoSpaceDE w:val="0"/>
      <w:autoSpaceDN w:val="0"/>
      <w:adjustRightInd w:val="0"/>
      <w:spacing w:before="240" w:after="60"/>
      <w:textAlignment w:val="baseline"/>
      <w:outlineLvl w:val="0"/>
    </w:pPr>
    <w:rPr>
      <w:rFonts w:ascii="Cambria" w:eastAsia="Times New Roman" w:hAnsi="Cambria" w:cs="Times New Roman"/>
      <w:b/>
      <w:bCs/>
      <w:color w:val="auto"/>
      <w:kern w:val="32"/>
      <w:sz w:val="32"/>
      <w:szCs w:val="32"/>
      <w:lang w:val="es-ES" w:eastAsia="es-ES"/>
    </w:rPr>
  </w:style>
  <w:style w:type="paragraph" w:styleId="Ttulo2">
    <w:name w:val="heading 2"/>
    <w:basedOn w:val="Normal"/>
    <w:link w:val="Ttulo2Car"/>
    <w:qFormat/>
    <w:rsid w:val="003A5822"/>
    <w:pPr>
      <w:overflowPunct w:val="0"/>
      <w:autoSpaceDE w:val="0"/>
      <w:autoSpaceDN w:val="0"/>
      <w:adjustRightInd w:val="0"/>
      <w:spacing w:after="100"/>
      <w:textAlignment w:val="baseline"/>
      <w:outlineLvl w:val="1"/>
    </w:pPr>
    <w:rPr>
      <w:rFonts w:ascii="Times New Roman" w:eastAsia="Times New Roman" w:hAnsi="Times New Roman" w:cs="Times New Roman"/>
      <w:b/>
      <w:color w:val="auto"/>
      <w:sz w:val="36"/>
      <w:szCs w:val="20"/>
      <w:lang w:val="es-ES" w:eastAsia="es-ES"/>
    </w:rPr>
  </w:style>
  <w:style w:type="paragraph" w:styleId="Ttulo3">
    <w:name w:val="heading 3"/>
    <w:basedOn w:val="Normal"/>
    <w:link w:val="Ttulo3Car"/>
    <w:qFormat/>
    <w:rsid w:val="003A5822"/>
    <w:pPr>
      <w:overflowPunct w:val="0"/>
      <w:autoSpaceDE w:val="0"/>
      <w:autoSpaceDN w:val="0"/>
      <w:adjustRightInd w:val="0"/>
      <w:spacing w:after="100"/>
      <w:textAlignment w:val="baseline"/>
      <w:outlineLvl w:val="2"/>
    </w:pPr>
    <w:rPr>
      <w:rFonts w:ascii="Times New Roman" w:eastAsia="Times New Roman" w:hAnsi="Times New Roman" w:cs="Times New Roman"/>
      <w:b/>
      <w:color w:val="auto"/>
      <w:sz w:val="27"/>
      <w:szCs w:val="20"/>
      <w:lang w:val="es-ES" w:eastAsia="es-ES"/>
    </w:rPr>
  </w:style>
  <w:style w:type="paragraph" w:styleId="Ttulo4">
    <w:name w:val="heading 4"/>
    <w:basedOn w:val="Normal"/>
    <w:next w:val="Normal"/>
    <w:link w:val="Ttulo4Car"/>
    <w:qFormat/>
    <w:rsid w:val="00524E1D"/>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color w:val="auto"/>
      <w:sz w:val="28"/>
      <w:szCs w:val="20"/>
      <w:lang w:val="es-ES" w:eastAsia="es-ES"/>
    </w:rPr>
  </w:style>
  <w:style w:type="paragraph" w:styleId="Ttulo5">
    <w:name w:val="heading 5"/>
    <w:basedOn w:val="Normal"/>
    <w:next w:val="Normal"/>
    <w:link w:val="Ttulo5Car"/>
    <w:unhideWhenUsed/>
    <w:qFormat/>
    <w:rsid w:val="003A5822"/>
    <w:pPr>
      <w:overflowPunct w:val="0"/>
      <w:autoSpaceDE w:val="0"/>
      <w:autoSpaceDN w:val="0"/>
      <w:adjustRightInd w:val="0"/>
      <w:spacing w:before="240" w:after="60"/>
      <w:textAlignment w:val="baseline"/>
      <w:outlineLvl w:val="4"/>
    </w:pPr>
    <w:rPr>
      <w:rFonts w:ascii="Calibri" w:eastAsia="Times New Roman" w:hAnsi="Calibri" w:cs="Times New Roman"/>
      <w:b/>
      <w:bCs/>
      <w:i/>
      <w:iCs/>
      <w:color w:val="auto"/>
      <w:sz w:val="26"/>
      <w:szCs w:val="26"/>
      <w:lang w:val="es-ES" w:eastAsia="es-ES"/>
    </w:rPr>
  </w:style>
  <w:style w:type="paragraph" w:styleId="Ttulo6">
    <w:name w:val="heading 6"/>
    <w:basedOn w:val="Normal"/>
    <w:next w:val="Normal"/>
    <w:link w:val="Ttulo6Car"/>
    <w:unhideWhenUsed/>
    <w:qFormat/>
    <w:rsid w:val="003A5822"/>
    <w:pPr>
      <w:overflowPunct w:val="0"/>
      <w:autoSpaceDE w:val="0"/>
      <w:autoSpaceDN w:val="0"/>
      <w:adjustRightInd w:val="0"/>
      <w:spacing w:before="240" w:after="60"/>
      <w:textAlignment w:val="baseline"/>
      <w:outlineLvl w:val="5"/>
    </w:pPr>
    <w:rPr>
      <w:rFonts w:ascii="Calibri" w:eastAsia="Times New Roman" w:hAnsi="Calibri" w:cs="Times New Roman"/>
      <w:b/>
      <w:bCs/>
      <w:color w:val="auto"/>
      <w:lang w:val="es-ES" w:eastAsia="es-ES"/>
    </w:rPr>
  </w:style>
  <w:style w:type="paragraph" w:styleId="Ttulo8">
    <w:name w:val="heading 8"/>
    <w:basedOn w:val="Normal"/>
    <w:next w:val="Normal"/>
    <w:link w:val="Ttulo8Car"/>
    <w:qFormat/>
    <w:rsid w:val="00524E1D"/>
    <w:pPr>
      <w:overflowPunct w:val="0"/>
      <w:autoSpaceDE w:val="0"/>
      <w:autoSpaceDN w:val="0"/>
      <w:adjustRightInd w:val="0"/>
      <w:spacing w:before="240" w:after="60"/>
      <w:textAlignment w:val="baseline"/>
      <w:outlineLvl w:val="7"/>
    </w:pPr>
    <w:rPr>
      <w:rFonts w:ascii="Times New Roman" w:eastAsia="Times New Roman" w:hAnsi="Times New Roman" w:cs="Times New Roman"/>
      <w:i/>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650A99"/>
    <w:rPr>
      <w:rFonts w:ascii="Tahoma" w:hAnsi="Tahoma" w:cs="Tahoma"/>
      <w:sz w:val="16"/>
      <w:szCs w:val="16"/>
    </w:rPr>
  </w:style>
  <w:style w:type="character" w:customStyle="1" w:styleId="TextodegloboCar">
    <w:name w:val="Texto de globo Car"/>
    <w:basedOn w:val="Fuentedeprrafopredeter"/>
    <w:link w:val="Textodeglobo"/>
    <w:rsid w:val="00650A99"/>
    <w:rPr>
      <w:rFonts w:ascii="Tahoma" w:hAnsi="Tahoma" w:cs="Tahoma"/>
      <w:sz w:val="16"/>
      <w:szCs w:val="16"/>
    </w:rPr>
  </w:style>
  <w:style w:type="paragraph" w:styleId="Encabezado">
    <w:name w:val="header"/>
    <w:basedOn w:val="Normal"/>
    <w:link w:val="EncabezadoCar"/>
    <w:uiPriority w:val="99"/>
    <w:unhideWhenUsed/>
    <w:rsid w:val="00650A99"/>
    <w:pPr>
      <w:tabs>
        <w:tab w:val="center" w:pos="4419"/>
        <w:tab w:val="right" w:pos="8838"/>
      </w:tabs>
    </w:pPr>
  </w:style>
  <w:style w:type="character" w:customStyle="1" w:styleId="EncabezadoCar">
    <w:name w:val="Encabezado Car"/>
    <w:basedOn w:val="Fuentedeprrafopredeter"/>
    <w:link w:val="Encabezado"/>
    <w:uiPriority w:val="99"/>
    <w:rsid w:val="00650A99"/>
  </w:style>
  <w:style w:type="paragraph" w:styleId="Piedepgina">
    <w:name w:val="footer"/>
    <w:basedOn w:val="Normal"/>
    <w:link w:val="PiedepginaCar"/>
    <w:uiPriority w:val="99"/>
    <w:unhideWhenUsed/>
    <w:rsid w:val="00650A99"/>
    <w:pPr>
      <w:tabs>
        <w:tab w:val="center" w:pos="4419"/>
        <w:tab w:val="right" w:pos="8838"/>
      </w:tabs>
    </w:pPr>
  </w:style>
  <w:style w:type="character" w:customStyle="1" w:styleId="PiedepginaCar">
    <w:name w:val="Pie de página Car"/>
    <w:basedOn w:val="Fuentedeprrafopredeter"/>
    <w:link w:val="Piedepgina"/>
    <w:uiPriority w:val="99"/>
    <w:rsid w:val="00650A99"/>
  </w:style>
  <w:style w:type="character" w:styleId="Hipervnculo">
    <w:name w:val="Hyperlink"/>
    <w:basedOn w:val="Fuentedeprrafopredeter"/>
    <w:uiPriority w:val="99"/>
    <w:unhideWhenUsed/>
    <w:rsid w:val="00650A99"/>
    <w:rPr>
      <w:color w:val="0000FF" w:themeColor="hyperlink"/>
      <w:u w:val="single"/>
    </w:rPr>
  </w:style>
  <w:style w:type="paragraph" w:styleId="NormalWeb">
    <w:name w:val="Normal (Web)"/>
    <w:basedOn w:val="Normal"/>
    <w:unhideWhenUsed/>
    <w:rsid w:val="00670D69"/>
    <w:pPr>
      <w:spacing w:beforeAutospacing="1" w:after="100" w:afterAutospacing="1"/>
    </w:pPr>
    <w:rPr>
      <w:rFonts w:ascii="Times New Roman" w:eastAsia="Times New Roman" w:hAnsi="Times New Roman" w:cs="Times New Roman"/>
      <w:sz w:val="24"/>
      <w:szCs w:val="24"/>
    </w:rPr>
  </w:style>
  <w:style w:type="table" w:styleId="Tablaconcuadrcula">
    <w:name w:val="Table Grid"/>
    <w:basedOn w:val="Tablanormal"/>
    <w:rsid w:val="00AE45E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aliases w:val="body text Car,bt Car,contents Car,body tesx Car1,body tesx Car Car"/>
    <w:basedOn w:val="Fuentedeprrafopredeter"/>
    <w:link w:val="Textoindependiente"/>
    <w:locked/>
    <w:rsid w:val="006A5FCB"/>
    <w:rPr>
      <w:rFonts w:ascii="Tahoma" w:hAnsi="Tahoma" w:cs="Tahoma"/>
      <w:sz w:val="24"/>
      <w:szCs w:val="24"/>
      <w:lang w:val="es-ES" w:eastAsia="es-ES"/>
    </w:rPr>
  </w:style>
  <w:style w:type="paragraph" w:styleId="Textoindependiente">
    <w:name w:val="Body Text"/>
    <w:aliases w:val="body text,bt,contents,body tesx,body tesx Car"/>
    <w:basedOn w:val="Normal"/>
    <w:link w:val="TextoindependienteCar"/>
    <w:unhideWhenUsed/>
    <w:rsid w:val="006A5FCB"/>
    <w:pPr>
      <w:jc w:val="both"/>
    </w:pPr>
    <w:rPr>
      <w:rFonts w:ascii="Tahoma" w:hAnsi="Tahoma" w:cs="Tahoma"/>
      <w:sz w:val="24"/>
      <w:szCs w:val="24"/>
      <w:lang w:val="es-ES" w:eastAsia="es-ES"/>
    </w:rPr>
  </w:style>
  <w:style w:type="character" w:customStyle="1" w:styleId="TextoindependienteCar1">
    <w:name w:val="Texto independiente Car1"/>
    <w:basedOn w:val="Fuentedeprrafopredeter"/>
    <w:uiPriority w:val="99"/>
    <w:semiHidden/>
    <w:rsid w:val="006A5FCB"/>
  </w:style>
  <w:style w:type="paragraph" w:styleId="Prrafodelista">
    <w:name w:val="List Paragraph"/>
    <w:basedOn w:val="Normal"/>
    <w:uiPriority w:val="34"/>
    <w:qFormat/>
    <w:rsid w:val="006A5FCB"/>
    <w:pPr>
      <w:ind w:left="720"/>
      <w:contextualSpacing/>
    </w:pPr>
  </w:style>
  <w:style w:type="paragraph" w:styleId="Sinespaciado">
    <w:name w:val="No Spacing"/>
    <w:uiPriority w:val="1"/>
    <w:qFormat/>
    <w:rsid w:val="005E5E78"/>
    <w:pPr>
      <w:spacing w:after="0"/>
    </w:pPr>
    <w:rPr>
      <w:rFonts w:ascii="Arial" w:eastAsia="Arial" w:hAnsi="Arial" w:cs="Arial"/>
      <w:color w:val="000000"/>
      <w:lang w:eastAsia="es-CO"/>
    </w:rPr>
  </w:style>
  <w:style w:type="paragraph" w:styleId="Textoindependiente2">
    <w:name w:val="Body Text 2"/>
    <w:basedOn w:val="Normal"/>
    <w:link w:val="Textoindependiente2Car"/>
    <w:uiPriority w:val="99"/>
    <w:semiHidden/>
    <w:unhideWhenUsed/>
    <w:rsid w:val="003A5822"/>
    <w:pPr>
      <w:spacing w:after="120" w:line="480" w:lineRule="auto"/>
    </w:pPr>
  </w:style>
  <w:style w:type="character" w:customStyle="1" w:styleId="Textoindependiente2Car">
    <w:name w:val="Texto independiente 2 Car"/>
    <w:basedOn w:val="Fuentedeprrafopredeter"/>
    <w:link w:val="Textoindependiente2"/>
    <w:uiPriority w:val="99"/>
    <w:semiHidden/>
    <w:rsid w:val="003A5822"/>
    <w:rPr>
      <w:rFonts w:ascii="Arial" w:eastAsia="Arial" w:hAnsi="Arial" w:cs="Arial"/>
      <w:color w:val="000000"/>
      <w:lang w:eastAsia="es-CO"/>
    </w:rPr>
  </w:style>
  <w:style w:type="paragraph" w:styleId="Textoindependiente3">
    <w:name w:val="Body Text 3"/>
    <w:basedOn w:val="Normal"/>
    <w:link w:val="Textoindependiente3Car"/>
    <w:uiPriority w:val="99"/>
    <w:semiHidden/>
    <w:unhideWhenUsed/>
    <w:rsid w:val="003A5822"/>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A5822"/>
    <w:rPr>
      <w:rFonts w:ascii="Arial" w:eastAsia="Arial" w:hAnsi="Arial" w:cs="Arial"/>
      <w:color w:val="000000"/>
      <w:sz w:val="16"/>
      <w:szCs w:val="16"/>
      <w:lang w:eastAsia="es-CO"/>
    </w:rPr>
  </w:style>
  <w:style w:type="character" w:customStyle="1" w:styleId="Ttulo1Car">
    <w:name w:val="Título 1 Car"/>
    <w:basedOn w:val="Fuentedeprrafopredeter"/>
    <w:link w:val="Ttulo1"/>
    <w:rsid w:val="003A5822"/>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3A5822"/>
    <w:rPr>
      <w:rFonts w:ascii="Times New Roman" w:eastAsia="Times New Roman" w:hAnsi="Times New Roman" w:cs="Times New Roman"/>
      <w:b/>
      <w:sz w:val="36"/>
      <w:szCs w:val="20"/>
      <w:lang w:val="es-ES" w:eastAsia="es-ES"/>
    </w:rPr>
  </w:style>
  <w:style w:type="character" w:customStyle="1" w:styleId="Ttulo3Car">
    <w:name w:val="Título 3 Car"/>
    <w:basedOn w:val="Fuentedeprrafopredeter"/>
    <w:link w:val="Ttulo3"/>
    <w:rsid w:val="003A5822"/>
    <w:rPr>
      <w:rFonts w:ascii="Times New Roman" w:eastAsia="Times New Roman" w:hAnsi="Times New Roman" w:cs="Times New Roman"/>
      <w:b/>
      <w:sz w:val="27"/>
      <w:szCs w:val="20"/>
      <w:lang w:val="es-ES" w:eastAsia="es-ES"/>
    </w:rPr>
  </w:style>
  <w:style w:type="character" w:customStyle="1" w:styleId="Ttulo5Car">
    <w:name w:val="Título 5 Car"/>
    <w:basedOn w:val="Fuentedeprrafopredeter"/>
    <w:link w:val="Ttulo5"/>
    <w:rsid w:val="003A5822"/>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A5822"/>
    <w:rPr>
      <w:rFonts w:ascii="Calibri" w:eastAsia="Times New Roman" w:hAnsi="Calibri" w:cs="Times New Roman"/>
      <w:b/>
      <w:bCs/>
      <w:lang w:val="es-ES" w:eastAsia="es-ES"/>
    </w:rPr>
  </w:style>
  <w:style w:type="paragraph" w:styleId="Ttulo">
    <w:name w:val="Title"/>
    <w:basedOn w:val="Normal"/>
    <w:link w:val="TtuloCar"/>
    <w:qFormat/>
    <w:rsid w:val="003A5822"/>
    <w:pPr>
      <w:jc w:val="center"/>
    </w:pPr>
    <w:rPr>
      <w:rFonts w:ascii="Times New Roman" w:eastAsia="Times New Roman" w:hAnsi="Times New Roman" w:cs="Times New Roman"/>
      <w:b/>
      <w:color w:val="auto"/>
      <w:sz w:val="24"/>
      <w:szCs w:val="20"/>
      <w:lang w:val="es-ES_tradnl" w:eastAsia="es-ES"/>
    </w:rPr>
  </w:style>
  <w:style w:type="character" w:customStyle="1" w:styleId="TtuloCar">
    <w:name w:val="Título Car"/>
    <w:basedOn w:val="Fuentedeprrafopredeter"/>
    <w:link w:val="Ttulo"/>
    <w:rsid w:val="003A5822"/>
    <w:rPr>
      <w:rFonts w:ascii="Times New Roman" w:eastAsia="Times New Roman" w:hAnsi="Times New Roman" w:cs="Times New Roman"/>
      <w:b/>
      <w:sz w:val="24"/>
      <w:szCs w:val="20"/>
      <w:lang w:val="es-ES_tradnl" w:eastAsia="es-ES"/>
    </w:rPr>
  </w:style>
  <w:style w:type="paragraph" w:customStyle="1" w:styleId="Textosinformato1">
    <w:name w:val="Texto sin formato1"/>
    <w:basedOn w:val="Normal"/>
    <w:rsid w:val="003A5822"/>
    <w:rPr>
      <w:rFonts w:ascii="Courier New" w:eastAsia="Times New Roman" w:hAnsi="Courier New" w:cs="Times New Roman"/>
      <w:color w:val="auto"/>
      <w:sz w:val="20"/>
      <w:szCs w:val="24"/>
      <w:lang w:eastAsia="es-ES"/>
    </w:rPr>
  </w:style>
  <w:style w:type="paragraph" w:customStyle="1" w:styleId="xl53">
    <w:name w:val="xl53"/>
    <w:basedOn w:val="Normal"/>
    <w:rsid w:val="003A5822"/>
    <w:pPr>
      <w:spacing w:beforeAutospacing="1" w:after="100" w:afterAutospacing="1"/>
      <w:jc w:val="center"/>
    </w:pPr>
    <w:rPr>
      <w:rFonts w:eastAsia="Times New Roman"/>
      <w:b/>
      <w:bCs/>
      <w:color w:val="auto"/>
      <w:sz w:val="24"/>
      <w:szCs w:val="24"/>
      <w:lang w:val="es-ES" w:eastAsia="es-ES"/>
    </w:rPr>
  </w:style>
  <w:style w:type="table" w:styleId="Cuadrculaclara-nfasis6">
    <w:name w:val="Light Grid Accent 6"/>
    <w:basedOn w:val="Tablanormal"/>
    <w:uiPriority w:val="62"/>
    <w:rsid w:val="0007281C"/>
    <w:pPr>
      <w:spacing w:before="0" w:after="0"/>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customStyle="1" w:styleId="Default">
    <w:name w:val="Default"/>
    <w:rsid w:val="00697D59"/>
    <w:pPr>
      <w:autoSpaceDE w:val="0"/>
      <w:autoSpaceDN w:val="0"/>
      <w:adjustRightInd w:val="0"/>
      <w:spacing w:before="0" w:after="0"/>
    </w:pPr>
    <w:rPr>
      <w:rFonts w:ascii="Trebuchet MS" w:hAnsi="Trebuchet MS" w:cs="Trebuchet MS"/>
      <w:color w:val="000000"/>
      <w:sz w:val="24"/>
      <w:szCs w:val="24"/>
    </w:rPr>
  </w:style>
  <w:style w:type="character" w:customStyle="1" w:styleId="Ttulo4Car">
    <w:name w:val="Título 4 Car"/>
    <w:basedOn w:val="Fuentedeprrafopredeter"/>
    <w:link w:val="Ttulo4"/>
    <w:rsid w:val="00524E1D"/>
    <w:rPr>
      <w:rFonts w:ascii="Times New Roman" w:eastAsia="Times New Roman" w:hAnsi="Times New Roman" w:cs="Times New Roman"/>
      <w:b/>
      <w:sz w:val="28"/>
      <w:szCs w:val="20"/>
      <w:lang w:val="es-ES" w:eastAsia="es-ES"/>
    </w:rPr>
  </w:style>
  <w:style w:type="character" w:customStyle="1" w:styleId="Ttulo8Car">
    <w:name w:val="Título 8 Car"/>
    <w:basedOn w:val="Fuentedeprrafopredeter"/>
    <w:link w:val="Ttulo8"/>
    <w:rsid w:val="00524E1D"/>
    <w:rPr>
      <w:rFonts w:ascii="Times New Roman" w:eastAsia="Times New Roman" w:hAnsi="Times New Roman" w:cs="Times New Roman"/>
      <w:i/>
      <w:sz w:val="24"/>
      <w:szCs w:val="20"/>
      <w:lang w:val="es-ES" w:eastAsia="es-ES"/>
    </w:rPr>
  </w:style>
  <w:style w:type="paragraph" w:styleId="Sangradetextonormal">
    <w:name w:val="Body Text Indent"/>
    <w:basedOn w:val="Normal"/>
    <w:link w:val="SangradetextonormalCar"/>
    <w:unhideWhenUsed/>
    <w:rsid w:val="00524E1D"/>
    <w:pPr>
      <w:overflowPunct w:val="0"/>
      <w:autoSpaceDE w:val="0"/>
      <w:autoSpaceDN w:val="0"/>
      <w:adjustRightInd w:val="0"/>
      <w:spacing w:before="0" w:after="120"/>
      <w:ind w:left="360"/>
      <w:textAlignment w:val="baseline"/>
    </w:pPr>
    <w:rPr>
      <w:rFonts w:eastAsia="Times New Roman" w:cs="Times New Roman"/>
      <w:color w:val="auto"/>
      <w:sz w:val="24"/>
      <w:szCs w:val="20"/>
      <w:lang w:eastAsia="es-ES"/>
    </w:rPr>
  </w:style>
  <w:style w:type="character" w:customStyle="1" w:styleId="SangradetextonormalCar">
    <w:name w:val="Sangría de texto normal Car"/>
    <w:basedOn w:val="Fuentedeprrafopredeter"/>
    <w:link w:val="Sangradetextonormal"/>
    <w:rsid w:val="00524E1D"/>
    <w:rPr>
      <w:rFonts w:ascii="Arial" w:eastAsia="Times New Roman" w:hAnsi="Arial" w:cs="Times New Roman"/>
      <w:sz w:val="24"/>
      <w:szCs w:val="20"/>
      <w:lang w:eastAsia="es-ES"/>
    </w:rPr>
  </w:style>
  <w:style w:type="character" w:customStyle="1" w:styleId="Hipervnculo1">
    <w:name w:val="Hipervínculo1"/>
    <w:rsid w:val="00524E1D"/>
    <w:rPr>
      <w:color w:val="0000FF"/>
      <w:u w:val="none"/>
    </w:rPr>
  </w:style>
  <w:style w:type="character" w:customStyle="1" w:styleId="mw-headline">
    <w:name w:val="mw-headline"/>
    <w:basedOn w:val="Fuentedeprrafopredeter"/>
    <w:rsid w:val="00524E1D"/>
  </w:style>
  <w:style w:type="character" w:customStyle="1" w:styleId="editsection">
    <w:name w:val="editsection"/>
    <w:basedOn w:val="Fuentedeprrafopredeter"/>
    <w:rsid w:val="00524E1D"/>
  </w:style>
  <w:style w:type="paragraph" w:customStyle="1" w:styleId="Textoindependiente21">
    <w:name w:val="Texto independiente 21"/>
    <w:basedOn w:val="Normal"/>
    <w:rsid w:val="00524E1D"/>
    <w:pPr>
      <w:overflowPunct w:val="0"/>
      <w:autoSpaceDE w:val="0"/>
      <w:autoSpaceDN w:val="0"/>
      <w:adjustRightInd w:val="0"/>
      <w:spacing w:before="0" w:after="0"/>
      <w:jc w:val="both"/>
      <w:textAlignment w:val="baseline"/>
    </w:pPr>
    <w:rPr>
      <w:rFonts w:eastAsia="Times New Roman" w:cs="Times New Roman"/>
      <w:color w:val="auto"/>
      <w:sz w:val="24"/>
      <w:szCs w:val="20"/>
      <w:lang w:eastAsia="es-ES"/>
    </w:rPr>
  </w:style>
  <w:style w:type="paragraph" w:customStyle="1" w:styleId="Textoindependiente31">
    <w:name w:val="Texto independiente 31"/>
    <w:basedOn w:val="Normal"/>
    <w:rsid w:val="00524E1D"/>
    <w:pPr>
      <w:overflowPunct w:val="0"/>
      <w:autoSpaceDE w:val="0"/>
      <w:autoSpaceDN w:val="0"/>
      <w:adjustRightInd w:val="0"/>
      <w:spacing w:before="0" w:after="0"/>
      <w:jc w:val="both"/>
      <w:textAlignment w:val="baseline"/>
    </w:pPr>
    <w:rPr>
      <w:rFonts w:eastAsia="Times New Roman" w:cs="Times New Roman"/>
      <w:b/>
      <w:color w:val="auto"/>
      <w:sz w:val="24"/>
      <w:szCs w:val="20"/>
      <w:lang w:val="es-ES" w:eastAsia="es-ES"/>
    </w:rPr>
  </w:style>
  <w:style w:type="table" w:styleId="Listaclara-nfasis1">
    <w:name w:val="Light List Accent 1"/>
    <w:basedOn w:val="Tablanormal"/>
    <w:uiPriority w:val="61"/>
    <w:rsid w:val="00524E1D"/>
    <w:pPr>
      <w:spacing w:before="0"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clara-nfasis2">
    <w:name w:val="Light Grid Accent 2"/>
    <w:basedOn w:val="Tablanormal"/>
    <w:uiPriority w:val="62"/>
    <w:rsid w:val="00E566A8"/>
    <w:pPr>
      <w:spacing w:before="0"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apple-converted-space">
    <w:name w:val="apple-converted-space"/>
    <w:basedOn w:val="Fuentedeprrafopredeter"/>
    <w:rsid w:val="005F5D93"/>
  </w:style>
  <w:style w:type="character" w:styleId="Nmerodelnea">
    <w:name w:val="line number"/>
    <w:basedOn w:val="Fuentedeprrafopredeter"/>
    <w:uiPriority w:val="99"/>
    <w:semiHidden/>
    <w:unhideWhenUsed/>
    <w:rsid w:val="005F4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58">
      <w:bodyDiv w:val="1"/>
      <w:marLeft w:val="0"/>
      <w:marRight w:val="0"/>
      <w:marTop w:val="0"/>
      <w:marBottom w:val="0"/>
      <w:divBdr>
        <w:top w:val="none" w:sz="0" w:space="0" w:color="auto"/>
        <w:left w:val="none" w:sz="0" w:space="0" w:color="auto"/>
        <w:bottom w:val="none" w:sz="0" w:space="0" w:color="auto"/>
        <w:right w:val="none" w:sz="0" w:space="0" w:color="auto"/>
      </w:divBdr>
    </w:div>
    <w:div w:id="77875691">
      <w:bodyDiv w:val="1"/>
      <w:marLeft w:val="0"/>
      <w:marRight w:val="0"/>
      <w:marTop w:val="0"/>
      <w:marBottom w:val="0"/>
      <w:divBdr>
        <w:top w:val="none" w:sz="0" w:space="0" w:color="auto"/>
        <w:left w:val="none" w:sz="0" w:space="0" w:color="auto"/>
        <w:bottom w:val="none" w:sz="0" w:space="0" w:color="auto"/>
        <w:right w:val="none" w:sz="0" w:space="0" w:color="auto"/>
      </w:divBdr>
    </w:div>
    <w:div w:id="103891471">
      <w:bodyDiv w:val="1"/>
      <w:marLeft w:val="0"/>
      <w:marRight w:val="0"/>
      <w:marTop w:val="0"/>
      <w:marBottom w:val="0"/>
      <w:divBdr>
        <w:top w:val="none" w:sz="0" w:space="0" w:color="auto"/>
        <w:left w:val="none" w:sz="0" w:space="0" w:color="auto"/>
        <w:bottom w:val="none" w:sz="0" w:space="0" w:color="auto"/>
        <w:right w:val="none" w:sz="0" w:space="0" w:color="auto"/>
      </w:divBdr>
    </w:div>
    <w:div w:id="105316843">
      <w:bodyDiv w:val="1"/>
      <w:marLeft w:val="0"/>
      <w:marRight w:val="0"/>
      <w:marTop w:val="0"/>
      <w:marBottom w:val="0"/>
      <w:divBdr>
        <w:top w:val="none" w:sz="0" w:space="0" w:color="auto"/>
        <w:left w:val="none" w:sz="0" w:space="0" w:color="auto"/>
        <w:bottom w:val="none" w:sz="0" w:space="0" w:color="auto"/>
        <w:right w:val="none" w:sz="0" w:space="0" w:color="auto"/>
      </w:divBdr>
    </w:div>
    <w:div w:id="117341432">
      <w:bodyDiv w:val="1"/>
      <w:marLeft w:val="0"/>
      <w:marRight w:val="0"/>
      <w:marTop w:val="0"/>
      <w:marBottom w:val="0"/>
      <w:divBdr>
        <w:top w:val="none" w:sz="0" w:space="0" w:color="auto"/>
        <w:left w:val="none" w:sz="0" w:space="0" w:color="auto"/>
        <w:bottom w:val="none" w:sz="0" w:space="0" w:color="auto"/>
        <w:right w:val="none" w:sz="0" w:space="0" w:color="auto"/>
      </w:divBdr>
    </w:div>
    <w:div w:id="121193642">
      <w:bodyDiv w:val="1"/>
      <w:marLeft w:val="0"/>
      <w:marRight w:val="0"/>
      <w:marTop w:val="0"/>
      <w:marBottom w:val="0"/>
      <w:divBdr>
        <w:top w:val="none" w:sz="0" w:space="0" w:color="auto"/>
        <w:left w:val="none" w:sz="0" w:space="0" w:color="auto"/>
        <w:bottom w:val="none" w:sz="0" w:space="0" w:color="auto"/>
        <w:right w:val="none" w:sz="0" w:space="0" w:color="auto"/>
      </w:divBdr>
    </w:div>
    <w:div w:id="136843202">
      <w:bodyDiv w:val="1"/>
      <w:marLeft w:val="0"/>
      <w:marRight w:val="0"/>
      <w:marTop w:val="0"/>
      <w:marBottom w:val="0"/>
      <w:divBdr>
        <w:top w:val="none" w:sz="0" w:space="0" w:color="auto"/>
        <w:left w:val="none" w:sz="0" w:space="0" w:color="auto"/>
        <w:bottom w:val="none" w:sz="0" w:space="0" w:color="auto"/>
        <w:right w:val="none" w:sz="0" w:space="0" w:color="auto"/>
      </w:divBdr>
    </w:div>
    <w:div w:id="141894818">
      <w:bodyDiv w:val="1"/>
      <w:marLeft w:val="0"/>
      <w:marRight w:val="0"/>
      <w:marTop w:val="0"/>
      <w:marBottom w:val="0"/>
      <w:divBdr>
        <w:top w:val="none" w:sz="0" w:space="0" w:color="auto"/>
        <w:left w:val="none" w:sz="0" w:space="0" w:color="auto"/>
        <w:bottom w:val="none" w:sz="0" w:space="0" w:color="auto"/>
        <w:right w:val="none" w:sz="0" w:space="0" w:color="auto"/>
      </w:divBdr>
    </w:div>
    <w:div w:id="151802257">
      <w:bodyDiv w:val="1"/>
      <w:marLeft w:val="0"/>
      <w:marRight w:val="0"/>
      <w:marTop w:val="0"/>
      <w:marBottom w:val="0"/>
      <w:divBdr>
        <w:top w:val="none" w:sz="0" w:space="0" w:color="auto"/>
        <w:left w:val="none" w:sz="0" w:space="0" w:color="auto"/>
        <w:bottom w:val="none" w:sz="0" w:space="0" w:color="auto"/>
        <w:right w:val="none" w:sz="0" w:space="0" w:color="auto"/>
      </w:divBdr>
    </w:div>
    <w:div w:id="170535872">
      <w:bodyDiv w:val="1"/>
      <w:marLeft w:val="0"/>
      <w:marRight w:val="0"/>
      <w:marTop w:val="0"/>
      <w:marBottom w:val="0"/>
      <w:divBdr>
        <w:top w:val="none" w:sz="0" w:space="0" w:color="auto"/>
        <w:left w:val="none" w:sz="0" w:space="0" w:color="auto"/>
        <w:bottom w:val="none" w:sz="0" w:space="0" w:color="auto"/>
        <w:right w:val="none" w:sz="0" w:space="0" w:color="auto"/>
      </w:divBdr>
    </w:div>
    <w:div w:id="268395248">
      <w:bodyDiv w:val="1"/>
      <w:marLeft w:val="0"/>
      <w:marRight w:val="0"/>
      <w:marTop w:val="0"/>
      <w:marBottom w:val="0"/>
      <w:divBdr>
        <w:top w:val="none" w:sz="0" w:space="0" w:color="auto"/>
        <w:left w:val="none" w:sz="0" w:space="0" w:color="auto"/>
        <w:bottom w:val="none" w:sz="0" w:space="0" w:color="auto"/>
        <w:right w:val="none" w:sz="0" w:space="0" w:color="auto"/>
      </w:divBdr>
    </w:div>
    <w:div w:id="338195746">
      <w:bodyDiv w:val="1"/>
      <w:marLeft w:val="0"/>
      <w:marRight w:val="0"/>
      <w:marTop w:val="0"/>
      <w:marBottom w:val="0"/>
      <w:divBdr>
        <w:top w:val="none" w:sz="0" w:space="0" w:color="auto"/>
        <w:left w:val="none" w:sz="0" w:space="0" w:color="auto"/>
        <w:bottom w:val="none" w:sz="0" w:space="0" w:color="auto"/>
        <w:right w:val="none" w:sz="0" w:space="0" w:color="auto"/>
      </w:divBdr>
    </w:div>
    <w:div w:id="357123460">
      <w:bodyDiv w:val="1"/>
      <w:marLeft w:val="0"/>
      <w:marRight w:val="0"/>
      <w:marTop w:val="0"/>
      <w:marBottom w:val="0"/>
      <w:divBdr>
        <w:top w:val="none" w:sz="0" w:space="0" w:color="auto"/>
        <w:left w:val="none" w:sz="0" w:space="0" w:color="auto"/>
        <w:bottom w:val="none" w:sz="0" w:space="0" w:color="auto"/>
        <w:right w:val="none" w:sz="0" w:space="0" w:color="auto"/>
      </w:divBdr>
    </w:div>
    <w:div w:id="379012021">
      <w:bodyDiv w:val="1"/>
      <w:marLeft w:val="0"/>
      <w:marRight w:val="0"/>
      <w:marTop w:val="0"/>
      <w:marBottom w:val="0"/>
      <w:divBdr>
        <w:top w:val="none" w:sz="0" w:space="0" w:color="auto"/>
        <w:left w:val="none" w:sz="0" w:space="0" w:color="auto"/>
        <w:bottom w:val="none" w:sz="0" w:space="0" w:color="auto"/>
        <w:right w:val="none" w:sz="0" w:space="0" w:color="auto"/>
      </w:divBdr>
    </w:div>
    <w:div w:id="399670160">
      <w:bodyDiv w:val="1"/>
      <w:marLeft w:val="0"/>
      <w:marRight w:val="0"/>
      <w:marTop w:val="0"/>
      <w:marBottom w:val="0"/>
      <w:divBdr>
        <w:top w:val="none" w:sz="0" w:space="0" w:color="auto"/>
        <w:left w:val="none" w:sz="0" w:space="0" w:color="auto"/>
        <w:bottom w:val="none" w:sz="0" w:space="0" w:color="auto"/>
        <w:right w:val="none" w:sz="0" w:space="0" w:color="auto"/>
      </w:divBdr>
    </w:div>
    <w:div w:id="434784909">
      <w:bodyDiv w:val="1"/>
      <w:marLeft w:val="0"/>
      <w:marRight w:val="0"/>
      <w:marTop w:val="0"/>
      <w:marBottom w:val="0"/>
      <w:divBdr>
        <w:top w:val="none" w:sz="0" w:space="0" w:color="auto"/>
        <w:left w:val="none" w:sz="0" w:space="0" w:color="auto"/>
        <w:bottom w:val="none" w:sz="0" w:space="0" w:color="auto"/>
        <w:right w:val="none" w:sz="0" w:space="0" w:color="auto"/>
      </w:divBdr>
    </w:div>
    <w:div w:id="464586509">
      <w:bodyDiv w:val="1"/>
      <w:marLeft w:val="0"/>
      <w:marRight w:val="0"/>
      <w:marTop w:val="0"/>
      <w:marBottom w:val="0"/>
      <w:divBdr>
        <w:top w:val="none" w:sz="0" w:space="0" w:color="auto"/>
        <w:left w:val="none" w:sz="0" w:space="0" w:color="auto"/>
        <w:bottom w:val="none" w:sz="0" w:space="0" w:color="auto"/>
        <w:right w:val="none" w:sz="0" w:space="0" w:color="auto"/>
      </w:divBdr>
    </w:div>
    <w:div w:id="579607475">
      <w:bodyDiv w:val="1"/>
      <w:marLeft w:val="0"/>
      <w:marRight w:val="0"/>
      <w:marTop w:val="0"/>
      <w:marBottom w:val="0"/>
      <w:divBdr>
        <w:top w:val="none" w:sz="0" w:space="0" w:color="auto"/>
        <w:left w:val="none" w:sz="0" w:space="0" w:color="auto"/>
        <w:bottom w:val="none" w:sz="0" w:space="0" w:color="auto"/>
        <w:right w:val="none" w:sz="0" w:space="0" w:color="auto"/>
      </w:divBdr>
    </w:div>
    <w:div w:id="639925935">
      <w:bodyDiv w:val="1"/>
      <w:marLeft w:val="0"/>
      <w:marRight w:val="0"/>
      <w:marTop w:val="0"/>
      <w:marBottom w:val="0"/>
      <w:divBdr>
        <w:top w:val="none" w:sz="0" w:space="0" w:color="auto"/>
        <w:left w:val="none" w:sz="0" w:space="0" w:color="auto"/>
        <w:bottom w:val="none" w:sz="0" w:space="0" w:color="auto"/>
        <w:right w:val="none" w:sz="0" w:space="0" w:color="auto"/>
      </w:divBdr>
    </w:div>
    <w:div w:id="678118413">
      <w:bodyDiv w:val="1"/>
      <w:marLeft w:val="0"/>
      <w:marRight w:val="0"/>
      <w:marTop w:val="0"/>
      <w:marBottom w:val="0"/>
      <w:divBdr>
        <w:top w:val="none" w:sz="0" w:space="0" w:color="auto"/>
        <w:left w:val="none" w:sz="0" w:space="0" w:color="auto"/>
        <w:bottom w:val="none" w:sz="0" w:space="0" w:color="auto"/>
        <w:right w:val="none" w:sz="0" w:space="0" w:color="auto"/>
      </w:divBdr>
    </w:div>
    <w:div w:id="848329293">
      <w:bodyDiv w:val="1"/>
      <w:marLeft w:val="0"/>
      <w:marRight w:val="0"/>
      <w:marTop w:val="0"/>
      <w:marBottom w:val="0"/>
      <w:divBdr>
        <w:top w:val="none" w:sz="0" w:space="0" w:color="auto"/>
        <w:left w:val="none" w:sz="0" w:space="0" w:color="auto"/>
        <w:bottom w:val="none" w:sz="0" w:space="0" w:color="auto"/>
        <w:right w:val="none" w:sz="0" w:space="0" w:color="auto"/>
      </w:divBdr>
    </w:div>
    <w:div w:id="853692665">
      <w:bodyDiv w:val="1"/>
      <w:marLeft w:val="0"/>
      <w:marRight w:val="0"/>
      <w:marTop w:val="0"/>
      <w:marBottom w:val="0"/>
      <w:divBdr>
        <w:top w:val="none" w:sz="0" w:space="0" w:color="auto"/>
        <w:left w:val="none" w:sz="0" w:space="0" w:color="auto"/>
        <w:bottom w:val="none" w:sz="0" w:space="0" w:color="auto"/>
        <w:right w:val="none" w:sz="0" w:space="0" w:color="auto"/>
      </w:divBdr>
    </w:div>
    <w:div w:id="915750550">
      <w:bodyDiv w:val="1"/>
      <w:marLeft w:val="0"/>
      <w:marRight w:val="0"/>
      <w:marTop w:val="0"/>
      <w:marBottom w:val="0"/>
      <w:divBdr>
        <w:top w:val="none" w:sz="0" w:space="0" w:color="auto"/>
        <w:left w:val="none" w:sz="0" w:space="0" w:color="auto"/>
        <w:bottom w:val="none" w:sz="0" w:space="0" w:color="auto"/>
        <w:right w:val="none" w:sz="0" w:space="0" w:color="auto"/>
      </w:divBdr>
    </w:div>
    <w:div w:id="923027740">
      <w:bodyDiv w:val="1"/>
      <w:marLeft w:val="0"/>
      <w:marRight w:val="0"/>
      <w:marTop w:val="0"/>
      <w:marBottom w:val="0"/>
      <w:divBdr>
        <w:top w:val="none" w:sz="0" w:space="0" w:color="auto"/>
        <w:left w:val="none" w:sz="0" w:space="0" w:color="auto"/>
        <w:bottom w:val="none" w:sz="0" w:space="0" w:color="auto"/>
        <w:right w:val="none" w:sz="0" w:space="0" w:color="auto"/>
      </w:divBdr>
    </w:div>
    <w:div w:id="933979398">
      <w:bodyDiv w:val="1"/>
      <w:marLeft w:val="0"/>
      <w:marRight w:val="0"/>
      <w:marTop w:val="0"/>
      <w:marBottom w:val="0"/>
      <w:divBdr>
        <w:top w:val="none" w:sz="0" w:space="0" w:color="auto"/>
        <w:left w:val="none" w:sz="0" w:space="0" w:color="auto"/>
        <w:bottom w:val="none" w:sz="0" w:space="0" w:color="auto"/>
        <w:right w:val="none" w:sz="0" w:space="0" w:color="auto"/>
      </w:divBdr>
    </w:div>
    <w:div w:id="973289873">
      <w:bodyDiv w:val="1"/>
      <w:marLeft w:val="0"/>
      <w:marRight w:val="0"/>
      <w:marTop w:val="0"/>
      <w:marBottom w:val="0"/>
      <w:divBdr>
        <w:top w:val="none" w:sz="0" w:space="0" w:color="auto"/>
        <w:left w:val="none" w:sz="0" w:space="0" w:color="auto"/>
        <w:bottom w:val="none" w:sz="0" w:space="0" w:color="auto"/>
        <w:right w:val="none" w:sz="0" w:space="0" w:color="auto"/>
      </w:divBdr>
    </w:div>
    <w:div w:id="1025447832">
      <w:bodyDiv w:val="1"/>
      <w:marLeft w:val="0"/>
      <w:marRight w:val="0"/>
      <w:marTop w:val="0"/>
      <w:marBottom w:val="0"/>
      <w:divBdr>
        <w:top w:val="none" w:sz="0" w:space="0" w:color="auto"/>
        <w:left w:val="none" w:sz="0" w:space="0" w:color="auto"/>
        <w:bottom w:val="none" w:sz="0" w:space="0" w:color="auto"/>
        <w:right w:val="none" w:sz="0" w:space="0" w:color="auto"/>
      </w:divBdr>
    </w:div>
    <w:div w:id="1041394660">
      <w:bodyDiv w:val="1"/>
      <w:marLeft w:val="0"/>
      <w:marRight w:val="0"/>
      <w:marTop w:val="0"/>
      <w:marBottom w:val="0"/>
      <w:divBdr>
        <w:top w:val="none" w:sz="0" w:space="0" w:color="auto"/>
        <w:left w:val="none" w:sz="0" w:space="0" w:color="auto"/>
        <w:bottom w:val="none" w:sz="0" w:space="0" w:color="auto"/>
        <w:right w:val="none" w:sz="0" w:space="0" w:color="auto"/>
      </w:divBdr>
    </w:div>
    <w:div w:id="1044983491">
      <w:bodyDiv w:val="1"/>
      <w:marLeft w:val="0"/>
      <w:marRight w:val="0"/>
      <w:marTop w:val="0"/>
      <w:marBottom w:val="0"/>
      <w:divBdr>
        <w:top w:val="none" w:sz="0" w:space="0" w:color="auto"/>
        <w:left w:val="none" w:sz="0" w:space="0" w:color="auto"/>
        <w:bottom w:val="none" w:sz="0" w:space="0" w:color="auto"/>
        <w:right w:val="none" w:sz="0" w:space="0" w:color="auto"/>
      </w:divBdr>
    </w:div>
    <w:div w:id="1076979015">
      <w:bodyDiv w:val="1"/>
      <w:marLeft w:val="0"/>
      <w:marRight w:val="0"/>
      <w:marTop w:val="0"/>
      <w:marBottom w:val="0"/>
      <w:divBdr>
        <w:top w:val="none" w:sz="0" w:space="0" w:color="auto"/>
        <w:left w:val="none" w:sz="0" w:space="0" w:color="auto"/>
        <w:bottom w:val="none" w:sz="0" w:space="0" w:color="auto"/>
        <w:right w:val="none" w:sz="0" w:space="0" w:color="auto"/>
      </w:divBdr>
    </w:div>
    <w:div w:id="1109811397">
      <w:bodyDiv w:val="1"/>
      <w:marLeft w:val="0"/>
      <w:marRight w:val="0"/>
      <w:marTop w:val="0"/>
      <w:marBottom w:val="0"/>
      <w:divBdr>
        <w:top w:val="none" w:sz="0" w:space="0" w:color="auto"/>
        <w:left w:val="none" w:sz="0" w:space="0" w:color="auto"/>
        <w:bottom w:val="none" w:sz="0" w:space="0" w:color="auto"/>
        <w:right w:val="none" w:sz="0" w:space="0" w:color="auto"/>
      </w:divBdr>
    </w:div>
    <w:div w:id="1206256331">
      <w:bodyDiv w:val="1"/>
      <w:marLeft w:val="0"/>
      <w:marRight w:val="0"/>
      <w:marTop w:val="0"/>
      <w:marBottom w:val="0"/>
      <w:divBdr>
        <w:top w:val="none" w:sz="0" w:space="0" w:color="auto"/>
        <w:left w:val="none" w:sz="0" w:space="0" w:color="auto"/>
        <w:bottom w:val="none" w:sz="0" w:space="0" w:color="auto"/>
        <w:right w:val="none" w:sz="0" w:space="0" w:color="auto"/>
      </w:divBdr>
    </w:div>
    <w:div w:id="1243368878">
      <w:bodyDiv w:val="1"/>
      <w:marLeft w:val="0"/>
      <w:marRight w:val="0"/>
      <w:marTop w:val="0"/>
      <w:marBottom w:val="0"/>
      <w:divBdr>
        <w:top w:val="none" w:sz="0" w:space="0" w:color="auto"/>
        <w:left w:val="none" w:sz="0" w:space="0" w:color="auto"/>
        <w:bottom w:val="none" w:sz="0" w:space="0" w:color="auto"/>
        <w:right w:val="none" w:sz="0" w:space="0" w:color="auto"/>
      </w:divBdr>
    </w:div>
    <w:div w:id="1244220147">
      <w:bodyDiv w:val="1"/>
      <w:marLeft w:val="0"/>
      <w:marRight w:val="0"/>
      <w:marTop w:val="0"/>
      <w:marBottom w:val="0"/>
      <w:divBdr>
        <w:top w:val="none" w:sz="0" w:space="0" w:color="auto"/>
        <w:left w:val="none" w:sz="0" w:space="0" w:color="auto"/>
        <w:bottom w:val="none" w:sz="0" w:space="0" w:color="auto"/>
        <w:right w:val="none" w:sz="0" w:space="0" w:color="auto"/>
      </w:divBdr>
    </w:div>
    <w:div w:id="1251113980">
      <w:bodyDiv w:val="1"/>
      <w:marLeft w:val="0"/>
      <w:marRight w:val="0"/>
      <w:marTop w:val="0"/>
      <w:marBottom w:val="0"/>
      <w:divBdr>
        <w:top w:val="none" w:sz="0" w:space="0" w:color="auto"/>
        <w:left w:val="none" w:sz="0" w:space="0" w:color="auto"/>
        <w:bottom w:val="none" w:sz="0" w:space="0" w:color="auto"/>
        <w:right w:val="none" w:sz="0" w:space="0" w:color="auto"/>
      </w:divBdr>
    </w:div>
    <w:div w:id="1347714617">
      <w:bodyDiv w:val="1"/>
      <w:marLeft w:val="0"/>
      <w:marRight w:val="0"/>
      <w:marTop w:val="0"/>
      <w:marBottom w:val="0"/>
      <w:divBdr>
        <w:top w:val="none" w:sz="0" w:space="0" w:color="auto"/>
        <w:left w:val="none" w:sz="0" w:space="0" w:color="auto"/>
        <w:bottom w:val="none" w:sz="0" w:space="0" w:color="auto"/>
        <w:right w:val="none" w:sz="0" w:space="0" w:color="auto"/>
      </w:divBdr>
    </w:div>
    <w:div w:id="1360621359">
      <w:bodyDiv w:val="1"/>
      <w:marLeft w:val="0"/>
      <w:marRight w:val="0"/>
      <w:marTop w:val="0"/>
      <w:marBottom w:val="0"/>
      <w:divBdr>
        <w:top w:val="none" w:sz="0" w:space="0" w:color="auto"/>
        <w:left w:val="none" w:sz="0" w:space="0" w:color="auto"/>
        <w:bottom w:val="none" w:sz="0" w:space="0" w:color="auto"/>
        <w:right w:val="none" w:sz="0" w:space="0" w:color="auto"/>
      </w:divBdr>
    </w:div>
    <w:div w:id="1364090511">
      <w:bodyDiv w:val="1"/>
      <w:marLeft w:val="0"/>
      <w:marRight w:val="0"/>
      <w:marTop w:val="0"/>
      <w:marBottom w:val="0"/>
      <w:divBdr>
        <w:top w:val="none" w:sz="0" w:space="0" w:color="auto"/>
        <w:left w:val="none" w:sz="0" w:space="0" w:color="auto"/>
        <w:bottom w:val="none" w:sz="0" w:space="0" w:color="auto"/>
        <w:right w:val="none" w:sz="0" w:space="0" w:color="auto"/>
      </w:divBdr>
    </w:div>
    <w:div w:id="1396660415">
      <w:bodyDiv w:val="1"/>
      <w:marLeft w:val="0"/>
      <w:marRight w:val="0"/>
      <w:marTop w:val="0"/>
      <w:marBottom w:val="0"/>
      <w:divBdr>
        <w:top w:val="none" w:sz="0" w:space="0" w:color="auto"/>
        <w:left w:val="none" w:sz="0" w:space="0" w:color="auto"/>
        <w:bottom w:val="none" w:sz="0" w:space="0" w:color="auto"/>
        <w:right w:val="none" w:sz="0" w:space="0" w:color="auto"/>
      </w:divBdr>
    </w:div>
    <w:div w:id="1418096267">
      <w:bodyDiv w:val="1"/>
      <w:marLeft w:val="0"/>
      <w:marRight w:val="0"/>
      <w:marTop w:val="0"/>
      <w:marBottom w:val="0"/>
      <w:divBdr>
        <w:top w:val="none" w:sz="0" w:space="0" w:color="auto"/>
        <w:left w:val="none" w:sz="0" w:space="0" w:color="auto"/>
        <w:bottom w:val="none" w:sz="0" w:space="0" w:color="auto"/>
        <w:right w:val="none" w:sz="0" w:space="0" w:color="auto"/>
      </w:divBdr>
    </w:div>
    <w:div w:id="1428692558">
      <w:bodyDiv w:val="1"/>
      <w:marLeft w:val="0"/>
      <w:marRight w:val="0"/>
      <w:marTop w:val="0"/>
      <w:marBottom w:val="0"/>
      <w:divBdr>
        <w:top w:val="none" w:sz="0" w:space="0" w:color="auto"/>
        <w:left w:val="none" w:sz="0" w:space="0" w:color="auto"/>
        <w:bottom w:val="none" w:sz="0" w:space="0" w:color="auto"/>
        <w:right w:val="none" w:sz="0" w:space="0" w:color="auto"/>
      </w:divBdr>
    </w:div>
    <w:div w:id="1459645925">
      <w:bodyDiv w:val="1"/>
      <w:marLeft w:val="0"/>
      <w:marRight w:val="0"/>
      <w:marTop w:val="0"/>
      <w:marBottom w:val="0"/>
      <w:divBdr>
        <w:top w:val="none" w:sz="0" w:space="0" w:color="auto"/>
        <w:left w:val="none" w:sz="0" w:space="0" w:color="auto"/>
        <w:bottom w:val="none" w:sz="0" w:space="0" w:color="auto"/>
        <w:right w:val="none" w:sz="0" w:space="0" w:color="auto"/>
      </w:divBdr>
    </w:div>
    <w:div w:id="1464076987">
      <w:bodyDiv w:val="1"/>
      <w:marLeft w:val="0"/>
      <w:marRight w:val="0"/>
      <w:marTop w:val="0"/>
      <w:marBottom w:val="0"/>
      <w:divBdr>
        <w:top w:val="none" w:sz="0" w:space="0" w:color="auto"/>
        <w:left w:val="none" w:sz="0" w:space="0" w:color="auto"/>
        <w:bottom w:val="none" w:sz="0" w:space="0" w:color="auto"/>
        <w:right w:val="none" w:sz="0" w:space="0" w:color="auto"/>
      </w:divBdr>
    </w:div>
    <w:div w:id="1486507443">
      <w:bodyDiv w:val="1"/>
      <w:marLeft w:val="0"/>
      <w:marRight w:val="0"/>
      <w:marTop w:val="0"/>
      <w:marBottom w:val="0"/>
      <w:divBdr>
        <w:top w:val="none" w:sz="0" w:space="0" w:color="auto"/>
        <w:left w:val="none" w:sz="0" w:space="0" w:color="auto"/>
        <w:bottom w:val="none" w:sz="0" w:space="0" w:color="auto"/>
        <w:right w:val="none" w:sz="0" w:space="0" w:color="auto"/>
      </w:divBdr>
    </w:div>
    <w:div w:id="1669482645">
      <w:bodyDiv w:val="1"/>
      <w:marLeft w:val="0"/>
      <w:marRight w:val="0"/>
      <w:marTop w:val="0"/>
      <w:marBottom w:val="0"/>
      <w:divBdr>
        <w:top w:val="none" w:sz="0" w:space="0" w:color="auto"/>
        <w:left w:val="none" w:sz="0" w:space="0" w:color="auto"/>
        <w:bottom w:val="none" w:sz="0" w:space="0" w:color="auto"/>
        <w:right w:val="none" w:sz="0" w:space="0" w:color="auto"/>
      </w:divBdr>
    </w:div>
    <w:div w:id="1669863488">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710761689">
      <w:bodyDiv w:val="1"/>
      <w:marLeft w:val="0"/>
      <w:marRight w:val="0"/>
      <w:marTop w:val="0"/>
      <w:marBottom w:val="0"/>
      <w:divBdr>
        <w:top w:val="none" w:sz="0" w:space="0" w:color="auto"/>
        <w:left w:val="none" w:sz="0" w:space="0" w:color="auto"/>
        <w:bottom w:val="none" w:sz="0" w:space="0" w:color="auto"/>
        <w:right w:val="none" w:sz="0" w:space="0" w:color="auto"/>
      </w:divBdr>
    </w:div>
    <w:div w:id="1716080818">
      <w:bodyDiv w:val="1"/>
      <w:marLeft w:val="0"/>
      <w:marRight w:val="0"/>
      <w:marTop w:val="0"/>
      <w:marBottom w:val="0"/>
      <w:divBdr>
        <w:top w:val="none" w:sz="0" w:space="0" w:color="auto"/>
        <w:left w:val="none" w:sz="0" w:space="0" w:color="auto"/>
        <w:bottom w:val="none" w:sz="0" w:space="0" w:color="auto"/>
        <w:right w:val="none" w:sz="0" w:space="0" w:color="auto"/>
      </w:divBdr>
    </w:div>
    <w:div w:id="1717965306">
      <w:bodyDiv w:val="1"/>
      <w:marLeft w:val="0"/>
      <w:marRight w:val="0"/>
      <w:marTop w:val="0"/>
      <w:marBottom w:val="0"/>
      <w:divBdr>
        <w:top w:val="none" w:sz="0" w:space="0" w:color="auto"/>
        <w:left w:val="none" w:sz="0" w:space="0" w:color="auto"/>
        <w:bottom w:val="none" w:sz="0" w:space="0" w:color="auto"/>
        <w:right w:val="none" w:sz="0" w:space="0" w:color="auto"/>
      </w:divBdr>
    </w:div>
    <w:div w:id="1732146977">
      <w:bodyDiv w:val="1"/>
      <w:marLeft w:val="0"/>
      <w:marRight w:val="0"/>
      <w:marTop w:val="0"/>
      <w:marBottom w:val="0"/>
      <w:divBdr>
        <w:top w:val="none" w:sz="0" w:space="0" w:color="auto"/>
        <w:left w:val="none" w:sz="0" w:space="0" w:color="auto"/>
        <w:bottom w:val="none" w:sz="0" w:space="0" w:color="auto"/>
        <w:right w:val="none" w:sz="0" w:space="0" w:color="auto"/>
      </w:divBdr>
    </w:div>
    <w:div w:id="1741827221">
      <w:bodyDiv w:val="1"/>
      <w:marLeft w:val="0"/>
      <w:marRight w:val="0"/>
      <w:marTop w:val="0"/>
      <w:marBottom w:val="0"/>
      <w:divBdr>
        <w:top w:val="none" w:sz="0" w:space="0" w:color="auto"/>
        <w:left w:val="none" w:sz="0" w:space="0" w:color="auto"/>
        <w:bottom w:val="none" w:sz="0" w:space="0" w:color="auto"/>
        <w:right w:val="none" w:sz="0" w:space="0" w:color="auto"/>
      </w:divBdr>
    </w:div>
    <w:div w:id="1805538465">
      <w:bodyDiv w:val="1"/>
      <w:marLeft w:val="0"/>
      <w:marRight w:val="0"/>
      <w:marTop w:val="0"/>
      <w:marBottom w:val="0"/>
      <w:divBdr>
        <w:top w:val="none" w:sz="0" w:space="0" w:color="auto"/>
        <w:left w:val="none" w:sz="0" w:space="0" w:color="auto"/>
        <w:bottom w:val="none" w:sz="0" w:space="0" w:color="auto"/>
        <w:right w:val="none" w:sz="0" w:space="0" w:color="auto"/>
      </w:divBdr>
    </w:div>
    <w:div w:id="1825973043">
      <w:bodyDiv w:val="1"/>
      <w:marLeft w:val="0"/>
      <w:marRight w:val="0"/>
      <w:marTop w:val="0"/>
      <w:marBottom w:val="0"/>
      <w:divBdr>
        <w:top w:val="none" w:sz="0" w:space="0" w:color="auto"/>
        <w:left w:val="none" w:sz="0" w:space="0" w:color="auto"/>
        <w:bottom w:val="none" w:sz="0" w:space="0" w:color="auto"/>
        <w:right w:val="none" w:sz="0" w:space="0" w:color="auto"/>
      </w:divBdr>
    </w:div>
    <w:div w:id="1828285126">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03060130">
      <w:bodyDiv w:val="1"/>
      <w:marLeft w:val="0"/>
      <w:marRight w:val="0"/>
      <w:marTop w:val="0"/>
      <w:marBottom w:val="0"/>
      <w:divBdr>
        <w:top w:val="none" w:sz="0" w:space="0" w:color="auto"/>
        <w:left w:val="none" w:sz="0" w:space="0" w:color="auto"/>
        <w:bottom w:val="none" w:sz="0" w:space="0" w:color="auto"/>
        <w:right w:val="none" w:sz="0" w:space="0" w:color="auto"/>
      </w:divBdr>
    </w:div>
    <w:div w:id="1952474380">
      <w:bodyDiv w:val="1"/>
      <w:marLeft w:val="0"/>
      <w:marRight w:val="0"/>
      <w:marTop w:val="0"/>
      <w:marBottom w:val="0"/>
      <w:divBdr>
        <w:top w:val="none" w:sz="0" w:space="0" w:color="auto"/>
        <w:left w:val="none" w:sz="0" w:space="0" w:color="auto"/>
        <w:bottom w:val="none" w:sz="0" w:space="0" w:color="auto"/>
        <w:right w:val="none" w:sz="0" w:space="0" w:color="auto"/>
      </w:divBdr>
    </w:div>
    <w:div w:id="1960532434">
      <w:bodyDiv w:val="1"/>
      <w:marLeft w:val="0"/>
      <w:marRight w:val="0"/>
      <w:marTop w:val="0"/>
      <w:marBottom w:val="0"/>
      <w:divBdr>
        <w:top w:val="none" w:sz="0" w:space="0" w:color="auto"/>
        <w:left w:val="none" w:sz="0" w:space="0" w:color="auto"/>
        <w:bottom w:val="none" w:sz="0" w:space="0" w:color="auto"/>
        <w:right w:val="none" w:sz="0" w:space="0" w:color="auto"/>
      </w:divBdr>
    </w:div>
    <w:div w:id="1966887058">
      <w:bodyDiv w:val="1"/>
      <w:marLeft w:val="0"/>
      <w:marRight w:val="0"/>
      <w:marTop w:val="0"/>
      <w:marBottom w:val="0"/>
      <w:divBdr>
        <w:top w:val="none" w:sz="0" w:space="0" w:color="auto"/>
        <w:left w:val="none" w:sz="0" w:space="0" w:color="auto"/>
        <w:bottom w:val="none" w:sz="0" w:space="0" w:color="auto"/>
        <w:right w:val="none" w:sz="0" w:space="0" w:color="auto"/>
      </w:divBdr>
    </w:div>
    <w:div w:id="2134444713">
      <w:bodyDiv w:val="1"/>
      <w:marLeft w:val="0"/>
      <w:marRight w:val="0"/>
      <w:marTop w:val="0"/>
      <w:marBottom w:val="0"/>
      <w:divBdr>
        <w:top w:val="none" w:sz="0" w:space="0" w:color="auto"/>
        <w:left w:val="none" w:sz="0" w:space="0" w:color="auto"/>
        <w:bottom w:val="none" w:sz="0" w:space="0" w:color="auto"/>
        <w:right w:val="none" w:sz="0" w:space="0" w:color="auto"/>
      </w:divBdr>
    </w:div>
    <w:div w:id="21392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6.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hart" Target="charts/chart5.xm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chart" Target="charts/chart10.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hyperlink" Target="mailto:despacho.contraloria@contraloriatolima.gov.co" TargetMode="External"/><Relationship Id="rId2" Type="http://schemas.openxmlformats.org/officeDocument/2006/relationships/hyperlink" Target="http://www.contraloriatolima.gov.co" TargetMode="External"/><Relationship Id="rId1" Type="http://schemas.openxmlformats.org/officeDocument/2006/relationships/hyperlink" Target="mailto:despacho.contraloria@contraloriatolima.gov.co" TargetMode="External"/><Relationship Id="rId4" Type="http://schemas.openxmlformats.org/officeDocument/2006/relationships/hyperlink" Target="http://www.contraloriatolim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image" Target="../media/image4.jpeg"/></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image" Target="../media/image4.jpeg"/></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image" Target="../media/image4.jpeg"/></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Hoja1!$B$1</c:f>
              <c:strCache>
                <c:ptCount val="1"/>
                <c:pt idx="0">
                  <c:v>PPTO INICIAL</c:v>
                </c:pt>
              </c:strCache>
            </c:strRef>
          </c:tx>
          <c:invertIfNegative val="0"/>
          <c:cat>
            <c:strRef>
              <c:f>Hoja1!$A$2</c:f>
              <c:strCache>
                <c:ptCount val="1"/>
                <c:pt idx="0">
                  <c:v>PPTO.INGRESOS</c:v>
                </c:pt>
              </c:strCache>
            </c:strRef>
          </c:cat>
          <c:val>
            <c:numRef>
              <c:f>Hoja1!$B$2</c:f>
              <c:numCache>
                <c:formatCode>_(* #,##0_);_(* \(#,##0\);_(* "-"??_);_(@_)</c:formatCode>
                <c:ptCount val="1"/>
                <c:pt idx="0">
                  <c:v>11979460000</c:v>
                </c:pt>
              </c:numCache>
            </c:numRef>
          </c:val>
        </c:ser>
        <c:ser>
          <c:idx val="1"/>
          <c:order val="1"/>
          <c:tx>
            <c:strRef>
              <c:f>Hoja1!$C$1</c:f>
              <c:strCache>
                <c:ptCount val="1"/>
                <c:pt idx="0">
                  <c:v>ADICIONES</c:v>
                </c:pt>
              </c:strCache>
            </c:strRef>
          </c:tx>
          <c:invertIfNegative val="0"/>
          <c:cat>
            <c:strRef>
              <c:f>Hoja1!$A$2</c:f>
              <c:strCache>
                <c:ptCount val="1"/>
                <c:pt idx="0">
                  <c:v>PPTO.INGRESOS</c:v>
                </c:pt>
              </c:strCache>
            </c:strRef>
          </c:cat>
          <c:val>
            <c:numRef>
              <c:f>Hoja1!$C$2</c:f>
              <c:numCache>
                <c:formatCode>_(* #,##0_);_(* \(#,##0\);_(* "-"??_);_(@_)</c:formatCode>
                <c:ptCount val="1"/>
                <c:pt idx="0">
                  <c:v>9120585977</c:v>
                </c:pt>
              </c:numCache>
            </c:numRef>
          </c:val>
        </c:ser>
        <c:ser>
          <c:idx val="2"/>
          <c:order val="2"/>
          <c:tx>
            <c:strRef>
              <c:f>Hoja1!$D$1</c:f>
              <c:strCache>
                <c:ptCount val="1"/>
                <c:pt idx="0">
                  <c:v>REDUCCIONES</c:v>
                </c:pt>
              </c:strCache>
            </c:strRef>
          </c:tx>
          <c:invertIfNegative val="0"/>
          <c:cat>
            <c:strRef>
              <c:f>Hoja1!$A$2</c:f>
              <c:strCache>
                <c:ptCount val="1"/>
                <c:pt idx="0">
                  <c:v>PPTO.INGRESOS</c:v>
                </c:pt>
              </c:strCache>
            </c:strRef>
          </c:cat>
          <c:val>
            <c:numRef>
              <c:f>Hoja1!$D$2</c:f>
              <c:numCache>
                <c:formatCode>_(* #,##0_);_(* \(#,##0\);_(* "-"??_);_(@_)</c:formatCode>
                <c:ptCount val="1"/>
                <c:pt idx="0">
                  <c:v>731372399</c:v>
                </c:pt>
              </c:numCache>
            </c:numRef>
          </c:val>
        </c:ser>
        <c:ser>
          <c:idx val="3"/>
          <c:order val="3"/>
          <c:tx>
            <c:strRef>
              <c:f>Hoja1!$E$1</c:f>
              <c:strCache>
                <c:ptCount val="1"/>
                <c:pt idx="0">
                  <c:v>PPTO DEFINITIVO</c:v>
                </c:pt>
              </c:strCache>
            </c:strRef>
          </c:tx>
          <c:invertIfNegative val="0"/>
          <c:cat>
            <c:strRef>
              <c:f>Hoja1!$A$2</c:f>
              <c:strCache>
                <c:ptCount val="1"/>
                <c:pt idx="0">
                  <c:v>PPTO.INGRESOS</c:v>
                </c:pt>
              </c:strCache>
            </c:strRef>
          </c:cat>
          <c:val>
            <c:numRef>
              <c:f>Hoja1!$E$2</c:f>
              <c:numCache>
                <c:formatCode>#,##0</c:formatCode>
                <c:ptCount val="1"/>
                <c:pt idx="0">
                  <c:v>20368673578</c:v>
                </c:pt>
              </c:numCache>
            </c:numRef>
          </c:val>
        </c:ser>
        <c:dLbls>
          <c:showLegendKey val="0"/>
          <c:showVal val="0"/>
          <c:showCatName val="0"/>
          <c:showSerName val="0"/>
          <c:showPercent val="0"/>
          <c:showBubbleSize val="0"/>
        </c:dLbls>
        <c:gapWidth val="150"/>
        <c:shape val="pyramid"/>
        <c:axId val="153147264"/>
        <c:axId val="153148800"/>
        <c:axId val="153151232"/>
      </c:bar3DChart>
      <c:catAx>
        <c:axId val="153147264"/>
        <c:scaling>
          <c:orientation val="minMax"/>
        </c:scaling>
        <c:delete val="0"/>
        <c:axPos val="b"/>
        <c:majorTickMark val="out"/>
        <c:minorTickMark val="none"/>
        <c:tickLblPos val="nextTo"/>
        <c:crossAx val="153148800"/>
        <c:crosses val="autoZero"/>
        <c:auto val="1"/>
        <c:lblAlgn val="ctr"/>
        <c:lblOffset val="100"/>
        <c:noMultiLvlLbl val="0"/>
      </c:catAx>
      <c:valAx>
        <c:axId val="153148800"/>
        <c:scaling>
          <c:orientation val="minMax"/>
        </c:scaling>
        <c:delete val="0"/>
        <c:axPos val="l"/>
        <c:majorGridlines/>
        <c:numFmt formatCode="_(* #,##0_);_(* \(#,##0\);_(* &quot;-&quot;??_);_(@_)" sourceLinked="1"/>
        <c:majorTickMark val="out"/>
        <c:minorTickMark val="none"/>
        <c:tickLblPos val="nextTo"/>
        <c:crossAx val="153147264"/>
        <c:crosses val="autoZero"/>
        <c:crossBetween val="between"/>
      </c:valAx>
      <c:serAx>
        <c:axId val="153151232"/>
        <c:scaling>
          <c:orientation val="minMax"/>
        </c:scaling>
        <c:delete val="0"/>
        <c:axPos val="b"/>
        <c:majorTickMark val="out"/>
        <c:minorTickMark val="none"/>
        <c:tickLblPos val="nextTo"/>
        <c:crossAx val="153148800"/>
        <c:crosses val="autoZero"/>
      </c:serAx>
    </c:plotArea>
    <c:legend>
      <c:legendPos val="r"/>
      <c:overlay val="0"/>
    </c:legend>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ADICIONES</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Hoja1!$B$1</c:f>
              <c:strCache>
                <c:ptCount val="1"/>
                <c:pt idx="0">
                  <c:v>Adiciones</c:v>
                </c:pt>
              </c:strCache>
            </c:strRef>
          </c:tx>
          <c:invertIfNegative val="0"/>
          <c:cat>
            <c:strRef>
              <c:f>Hoja1!$A$2:$A$7</c:f>
              <c:strCache>
                <c:ptCount val="6"/>
                <c:pt idx="0">
                  <c:v>Otros Sectores</c:v>
                </c:pt>
                <c:pt idx="1">
                  <c:v>Sector Recreacion y Deporte</c:v>
                </c:pt>
                <c:pt idx="2">
                  <c:v>Saneamiento Basico</c:v>
                </c:pt>
                <c:pt idx="3">
                  <c:v>Sector Salud</c:v>
                </c:pt>
                <c:pt idx="4">
                  <c:v>Sector Vivienda </c:v>
                </c:pt>
                <c:pt idx="5">
                  <c:v>Desarrollo Comunitario</c:v>
                </c:pt>
              </c:strCache>
            </c:strRef>
          </c:cat>
          <c:val>
            <c:numRef>
              <c:f>Hoja1!$B$2:$B$7</c:f>
              <c:numCache>
                <c:formatCode>General</c:formatCode>
                <c:ptCount val="6"/>
                <c:pt idx="0">
                  <c:v>4.4429999999999996</c:v>
                </c:pt>
                <c:pt idx="1">
                  <c:v>1.2589999999999999</c:v>
                </c:pt>
                <c:pt idx="2">
                  <c:v>1.244</c:v>
                </c:pt>
                <c:pt idx="3">
                  <c:v>0.74099999999999999</c:v>
                </c:pt>
                <c:pt idx="4">
                  <c:v>0.40899999999999997</c:v>
                </c:pt>
                <c:pt idx="5">
                  <c:v>0.112</c:v>
                </c:pt>
              </c:numCache>
            </c:numRef>
          </c:val>
        </c:ser>
        <c:dLbls>
          <c:showLegendKey val="0"/>
          <c:showVal val="0"/>
          <c:showCatName val="0"/>
          <c:showSerName val="0"/>
          <c:showPercent val="0"/>
          <c:showBubbleSize val="0"/>
        </c:dLbls>
        <c:gapWidth val="150"/>
        <c:shape val="cylinder"/>
        <c:axId val="175672320"/>
        <c:axId val="175674112"/>
        <c:axId val="0"/>
      </c:bar3DChart>
      <c:catAx>
        <c:axId val="175672320"/>
        <c:scaling>
          <c:orientation val="minMax"/>
        </c:scaling>
        <c:delete val="0"/>
        <c:axPos val="b"/>
        <c:majorTickMark val="out"/>
        <c:minorTickMark val="none"/>
        <c:tickLblPos val="nextTo"/>
        <c:crossAx val="175674112"/>
        <c:crosses val="autoZero"/>
        <c:auto val="1"/>
        <c:lblAlgn val="ctr"/>
        <c:lblOffset val="100"/>
        <c:noMultiLvlLbl val="0"/>
      </c:catAx>
      <c:valAx>
        <c:axId val="175674112"/>
        <c:scaling>
          <c:orientation val="minMax"/>
        </c:scaling>
        <c:delete val="0"/>
        <c:axPos val="l"/>
        <c:majorGridlines/>
        <c:numFmt formatCode="General" sourceLinked="1"/>
        <c:majorTickMark val="out"/>
        <c:minorTickMark val="none"/>
        <c:tickLblPos val="nextTo"/>
        <c:crossAx val="175672320"/>
        <c:crosses val="autoZero"/>
        <c:crossBetween val="between"/>
      </c:valAx>
      <c:spPr>
        <a:blipFill>
          <a:blip xmlns:r="http://schemas.openxmlformats.org/officeDocument/2006/relationships" r:embed="rId1"/>
          <a:tile tx="0" ty="0" sx="100000" sy="100000" flip="none" algn="tl"/>
        </a:blipFill>
      </c:spPr>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Hoja1!$B$1</c:f>
              <c:strCache>
                <c:ptCount val="1"/>
                <c:pt idx="0">
                  <c:v>PRESUPUESTO INICIAL</c:v>
                </c:pt>
              </c:strCache>
            </c:strRef>
          </c:tx>
          <c:dLbls>
            <c:dLbl>
              <c:idx val="0"/>
              <c:layout>
                <c:manualLayout>
                  <c:x val="-1.0748396033829105E-2"/>
                  <c:y val="3.8560492438445192E-2"/>
                </c:manualLayout>
              </c:layout>
              <c:tx>
                <c:rich>
                  <a:bodyPr/>
                  <a:lstStyle/>
                  <a:p>
                    <a:r>
                      <a:rPr lang="en-US"/>
                      <a:t>Ing. Tributario  
4%</a:t>
                    </a:r>
                  </a:p>
                </c:rich>
              </c:tx>
              <c:showLegendKey val="0"/>
              <c:showVal val="0"/>
              <c:showCatName val="1"/>
              <c:showSerName val="0"/>
              <c:showPercent val="1"/>
              <c:showBubbleSize val="0"/>
            </c:dLbl>
            <c:dLbl>
              <c:idx val="1"/>
              <c:tx>
                <c:rich>
                  <a:bodyPr/>
                  <a:lstStyle/>
                  <a:p>
                    <a:r>
                      <a:rPr lang="en-US"/>
                      <a:t>Ing. No Tributario </a:t>
                    </a:r>
                  </a:p>
                  <a:p>
                    <a:r>
                      <a:rPr lang="en-US"/>
                      <a:t>53%</a:t>
                    </a:r>
                  </a:p>
                </c:rich>
              </c:tx>
              <c:showLegendKey val="0"/>
              <c:showVal val="1"/>
              <c:showCatName val="1"/>
              <c:showSerName val="0"/>
              <c:showPercent val="1"/>
              <c:showBubbleSize val="0"/>
            </c:dLbl>
            <c:dLbl>
              <c:idx val="2"/>
              <c:layout>
                <c:manualLayout>
                  <c:x val="0.14022564887722369"/>
                  <c:y val="6.3369578802649748E-2"/>
                </c:manualLayout>
              </c:layout>
              <c:tx>
                <c:rich>
                  <a:bodyPr/>
                  <a:lstStyle/>
                  <a:p>
                    <a:r>
                      <a:rPr lang="en-US"/>
                      <a:t>Fondos Especiales 
43%</a:t>
                    </a:r>
                  </a:p>
                </c:rich>
              </c:tx>
              <c:showLegendKey val="0"/>
              <c:showVal val="0"/>
              <c:showCatName val="1"/>
              <c:showSerName val="0"/>
              <c:showPercent val="1"/>
              <c:showBubbleSize val="0"/>
            </c:dLbl>
            <c:showLegendKey val="0"/>
            <c:showVal val="0"/>
            <c:showCatName val="1"/>
            <c:showSerName val="0"/>
            <c:showPercent val="1"/>
            <c:showBubbleSize val="0"/>
            <c:showLeaderLines val="0"/>
          </c:dLbls>
          <c:cat>
            <c:strRef>
              <c:f>Hoja1!$A$2:$A$4</c:f>
              <c:strCache>
                <c:ptCount val="3"/>
                <c:pt idx="0">
                  <c:v>Ing. Tributario $ 507.000.000</c:v>
                </c:pt>
                <c:pt idx="1">
                  <c:v>Ing. No Tributario $6.322.322.000</c:v>
                </c:pt>
                <c:pt idx="2">
                  <c:v>Fondos Especiales 5.150.131.000</c:v>
                </c:pt>
              </c:strCache>
            </c:strRef>
          </c:cat>
          <c:val>
            <c:numRef>
              <c:f>Hoja1!$B$2:$B$4</c:f>
              <c:numCache>
                <c:formatCode>General</c:formatCode>
                <c:ptCount val="3"/>
                <c:pt idx="0">
                  <c:v>507000000</c:v>
                </c:pt>
                <c:pt idx="1">
                  <c:v>6322322000</c:v>
                </c:pt>
                <c:pt idx="2">
                  <c:v>5150131000</c:v>
                </c:pt>
              </c:numCache>
            </c:numRef>
          </c:val>
        </c:ser>
        <c:dLbls>
          <c:showLegendKey val="0"/>
          <c:showVal val="0"/>
          <c:showCatName val="0"/>
          <c:showSerName val="0"/>
          <c:showPercent val="1"/>
          <c:showBubbleSize val="0"/>
          <c:showLeaderLines val="0"/>
        </c:dLbls>
        <c:firstSliceAng val="0"/>
      </c:pie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Hoja1!$B$1</c:f>
              <c:strCache>
                <c:ptCount val="1"/>
                <c:pt idx="0">
                  <c:v>PRESUPUESTO INICIAL </c:v>
                </c:pt>
              </c:strCache>
            </c:strRef>
          </c:tx>
          <c:invertIfNegative val="0"/>
          <c:cat>
            <c:strRef>
              <c:f>Hoja1!$A$2:$A$6</c:f>
              <c:strCache>
                <c:ptCount val="5"/>
                <c:pt idx="0">
                  <c:v>Ing. Tributarios</c:v>
                </c:pt>
                <c:pt idx="1">
                  <c:v>Ing. No Tributarios</c:v>
                </c:pt>
                <c:pt idx="2">
                  <c:v>Transferencias</c:v>
                </c:pt>
                <c:pt idx="3">
                  <c:v>Fondos Especiales</c:v>
                </c:pt>
                <c:pt idx="4">
                  <c:v>Recursos de Capital</c:v>
                </c:pt>
              </c:strCache>
            </c:strRef>
          </c:cat>
          <c:val>
            <c:numRef>
              <c:f>Hoja1!$B$2:$B$6</c:f>
              <c:numCache>
                <c:formatCode>#,##0</c:formatCode>
                <c:ptCount val="5"/>
                <c:pt idx="0">
                  <c:v>607007000</c:v>
                </c:pt>
                <c:pt idx="1">
                  <c:v>11472463000</c:v>
                </c:pt>
                <c:pt idx="2">
                  <c:v>6295209000</c:v>
                </c:pt>
                <c:pt idx="3">
                  <c:v>4796509000</c:v>
                </c:pt>
                <c:pt idx="4">
                  <c:v>0</c:v>
                </c:pt>
              </c:numCache>
            </c:numRef>
          </c:val>
        </c:ser>
        <c:ser>
          <c:idx val="1"/>
          <c:order val="1"/>
          <c:tx>
            <c:strRef>
              <c:f>Hoja1!$C$1</c:f>
              <c:strCache>
                <c:ptCount val="1"/>
                <c:pt idx="0">
                  <c:v>ADICIONES </c:v>
                </c:pt>
              </c:strCache>
            </c:strRef>
          </c:tx>
          <c:invertIfNegative val="0"/>
          <c:cat>
            <c:strRef>
              <c:f>Hoja1!$A$2:$A$6</c:f>
              <c:strCache>
                <c:ptCount val="5"/>
                <c:pt idx="0">
                  <c:v>Ing. Tributarios</c:v>
                </c:pt>
                <c:pt idx="1">
                  <c:v>Ing. No Tributarios</c:v>
                </c:pt>
                <c:pt idx="2">
                  <c:v>Transferencias</c:v>
                </c:pt>
                <c:pt idx="3">
                  <c:v>Fondos Especiales</c:v>
                </c:pt>
                <c:pt idx="4">
                  <c:v>Recursos de Capital</c:v>
                </c:pt>
              </c:strCache>
            </c:strRef>
          </c:cat>
          <c:val>
            <c:numRef>
              <c:f>Hoja1!$C$2:$C$6</c:f>
              <c:numCache>
                <c:formatCode>#,##0</c:formatCode>
                <c:ptCount val="5"/>
                <c:pt idx="0">
                  <c:v>306070256</c:v>
                </c:pt>
                <c:pt idx="1">
                  <c:v>3483816917</c:v>
                </c:pt>
                <c:pt idx="2">
                  <c:v>2443506793</c:v>
                </c:pt>
                <c:pt idx="3">
                  <c:v>777487079</c:v>
                </c:pt>
                <c:pt idx="4">
                  <c:v>5330698803</c:v>
                </c:pt>
              </c:numCache>
            </c:numRef>
          </c:val>
        </c:ser>
        <c:dLbls>
          <c:showLegendKey val="0"/>
          <c:showVal val="0"/>
          <c:showCatName val="0"/>
          <c:showSerName val="0"/>
          <c:showPercent val="0"/>
          <c:showBubbleSize val="0"/>
        </c:dLbls>
        <c:gapWidth val="150"/>
        <c:axId val="171765120"/>
        <c:axId val="171754624"/>
      </c:barChart>
      <c:catAx>
        <c:axId val="171765120"/>
        <c:scaling>
          <c:orientation val="minMax"/>
        </c:scaling>
        <c:delete val="0"/>
        <c:axPos val="b"/>
        <c:majorTickMark val="none"/>
        <c:minorTickMark val="none"/>
        <c:tickLblPos val="nextTo"/>
        <c:crossAx val="171754624"/>
        <c:crosses val="autoZero"/>
        <c:auto val="1"/>
        <c:lblAlgn val="ctr"/>
        <c:lblOffset val="100"/>
        <c:noMultiLvlLbl val="0"/>
      </c:catAx>
      <c:valAx>
        <c:axId val="171754624"/>
        <c:scaling>
          <c:orientation val="minMax"/>
        </c:scaling>
        <c:delete val="0"/>
        <c:axPos val="l"/>
        <c:majorGridlines/>
        <c:numFmt formatCode="#,##0" sourceLinked="1"/>
        <c:majorTickMark val="none"/>
        <c:minorTickMark val="none"/>
        <c:tickLblPos val="nextTo"/>
        <c:crossAx val="171765120"/>
        <c:crosses val="autoZero"/>
        <c:crossBetween val="between"/>
      </c:valAx>
    </c:plotArea>
    <c:legend>
      <c:legendPos val="r"/>
      <c:overlay val="0"/>
    </c:legend>
    <c:plotVisOnly val="1"/>
    <c:dispBlanksAs val="gap"/>
    <c:showDLblsOverMax val="0"/>
  </c:chart>
  <c:spPr>
    <a:pattFill prst="smConfetti">
      <a:fgClr>
        <a:schemeClr val="accent1"/>
      </a:fgClr>
      <a:bgClr>
        <a:schemeClr val="bg1"/>
      </a:bgClr>
    </a:patt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39"/>
    </mc:Choice>
    <mc:Fallback>
      <c:style val="39"/>
    </mc:Fallback>
  </mc:AlternateContent>
  <c:chart>
    <c:title>
      <c:tx>
        <c:rich>
          <a:bodyPr/>
          <a:lstStyle/>
          <a:p>
            <a:pPr>
              <a:defRPr/>
            </a:pPr>
            <a:r>
              <a:rPr lang="en-US"/>
              <a:t>FUENTES DE FINANCIACION PRESUPUESTO</a:t>
            </a:r>
          </a:p>
        </c:rich>
      </c:tx>
      <c:overlay val="0"/>
    </c:title>
    <c:autoTitleDeleted val="0"/>
    <c:plotArea>
      <c:layout/>
      <c:barChart>
        <c:barDir val="col"/>
        <c:grouping val="clustered"/>
        <c:varyColors val="0"/>
        <c:ser>
          <c:idx val="0"/>
          <c:order val="0"/>
          <c:tx>
            <c:strRef>
              <c:f>Hoja1!$B$1</c:f>
              <c:strCache>
                <c:ptCount val="1"/>
                <c:pt idx="0">
                  <c:v>Serie 1</c:v>
                </c:pt>
              </c:strCache>
            </c:strRef>
          </c:tx>
          <c:invertIfNegative val="0"/>
          <c:cat>
            <c:strRef>
              <c:f>Hoja1!$A$2:$A$3</c:f>
              <c:strCache>
                <c:ptCount val="2"/>
                <c:pt idx="0">
                  <c:v>Ingresos Tributarios</c:v>
                </c:pt>
                <c:pt idx="1">
                  <c:v>Ingresos No Tributarios</c:v>
                </c:pt>
              </c:strCache>
            </c:strRef>
          </c:cat>
          <c:val>
            <c:numRef>
              <c:f>Hoja1!$B$2:$B$3</c:f>
              <c:numCache>
                <c:formatCode>General</c:formatCode>
                <c:ptCount val="2"/>
                <c:pt idx="0">
                  <c:v>4.8899999999999997</c:v>
                </c:pt>
                <c:pt idx="1">
                  <c:v>71.14</c:v>
                </c:pt>
              </c:numCache>
            </c:numRef>
          </c:val>
        </c:ser>
        <c:dLbls>
          <c:showLegendKey val="0"/>
          <c:showVal val="0"/>
          <c:showCatName val="0"/>
          <c:showSerName val="0"/>
          <c:showPercent val="0"/>
          <c:showBubbleSize val="0"/>
        </c:dLbls>
        <c:gapWidth val="150"/>
        <c:axId val="173593344"/>
        <c:axId val="173594880"/>
      </c:barChart>
      <c:catAx>
        <c:axId val="173593344"/>
        <c:scaling>
          <c:orientation val="minMax"/>
        </c:scaling>
        <c:delete val="0"/>
        <c:axPos val="b"/>
        <c:majorTickMark val="none"/>
        <c:minorTickMark val="none"/>
        <c:tickLblPos val="nextTo"/>
        <c:crossAx val="173594880"/>
        <c:crosses val="autoZero"/>
        <c:auto val="1"/>
        <c:lblAlgn val="ctr"/>
        <c:lblOffset val="100"/>
        <c:noMultiLvlLbl val="0"/>
      </c:catAx>
      <c:valAx>
        <c:axId val="173594880"/>
        <c:scaling>
          <c:orientation val="minMax"/>
        </c:scaling>
        <c:delete val="0"/>
        <c:axPos val="l"/>
        <c:majorGridlines/>
        <c:numFmt formatCode="General" sourceLinked="1"/>
        <c:majorTickMark val="none"/>
        <c:minorTickMark val="none"/>
        <c:tickLblPos val="nextTo"/>
        <c:crossAx val="17359334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INGRESOS NO TRIBUTARIOS</a:t>
            </a:r>
          </a:p>
        </c:rich>
      </c:tx>
      <c:overlay val="0"/>
    </c:title>
    <c:autoTitleDeleted val="0"/>
    <c:plotArea>
      <c:layout/>
      <c:pieChart>
        <c:varyColors val="1"/>
        <c:ser>
          <c:idx val="0"/>
          <c:order val="0"/>
          <c:tx>
            <c:strRef>
              <c:f>Hoja1!$B$1</c:f>
              <c:strCache>
                <c:ptCount val="1"/>
                <c:pt idx="0">
                  <c:v>Ventas</c:v>
                </c:pt>
              </c:strCache>
            </c:strRef>
          </c:tx>
          <c:dLbls>
            <c:showLegendKey val="0"/>
            <c:showVal val="0"/>
            <c:showCatName val="1"/>
            <c:showSerName val="0"/>
            <c:showPercent val="1"/>
            <c:showBubbleSize val="0"/>
            <c:showLeaderLines val="1"/>
          </c:dLbls>
          <c:cat>
            <c:strRef>
              <c:f>Hoja1!$A$2:$A$4</c:f>
              <c:strCache>
                <c:ptCount val="3"/>
                <c:pt idx="0">
                  <c:v>S.G.P</c:v>
                </c:pt>
                <c:pt idx="1">
                  <c:v>Recursos Financiación</c:v>
                </c:pt>
                <c:pt idx="2">
                  <c:v>fondos Especiales</c:v>
                </c:pt>
              </c:strCache>
            </c:strRef>
          </c:cat>
          <c:val>
            <c:numRef>
              <c:f>Hoja1!$B$2:$B$4</c:f>
              <c:numCache>
                <c:formatCode>_(* #,##0_);_(* \(#,##0\);_(* "-"??_);_(@_)</c:formatCode>
                <c:ptCount val="3"/>
                <c:pt idx="0">
                  <c:v>8406147255</c:v>
                </c:pt>
                <c:pt idx="1">
                  <c:v>78720000</c:v>
                </c:pt>
                <c:pt idx="2">
                  <c:v>5024462031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39"/>
    </mc:Choice>
    <mc:Fallback>
      <c:style val="39"/>
    </mc:Fallback>
  </mc:AlternateContent>
  <c:chart>
    <c:autoTitleDeleted val="1"/>
    <c:plotArea>
      <c:layout/>
      <c:barChart>
        <c:barDir val="col"/>
        <c:grouping val="clustered"/>
        <c:varyColors val="0"/>
        <c:ser>
          <c:idx val="0"/>
          <c:order val="0"/>
          <c:tx>
            <c:strRef>
              <c:f>Hoja1!$B$1</c:f>
              <c:strCache>
                <c:ptCount val="1"/>
                <c:pt idx="0">
                  <c:v>Serie 1</c:v>
                </c:pt>
              </c:strCache>
            </c:strRef>
          </c:tx>
          <c:invertIfNegative val="0"/>
          <c:cat>
            <c:strRef>
              <c:f>Hoja1!$A$2:$A$5</c:f>
              <c:strCache>
                <c:ptCount val="4"/>
                <c:pt idx="0">
                  <c:v>Ppto Inicial</c:v>
                </c:pt>
                <c:pt idx="1">
                  <c:v>Ppto Definitivo</c:v>
                </c:pt>
                <c:pt idx="2">
                  <c:v>Total Recaudado</c:v>
                </c:pt>
                <c:pt idx="3">
                  <c:v>Por Recaudar</c:v>
                </c:pt>
              </c:strCache>
            </c:strRef>
          </c:cat>
          <c:val>
            <c:numRef>
              <c:f>Hoja1!$B$2:$B$5</c:f>
              <c:numCache>
                <c:formatCode>General</c:formatCode>
                <c:ptCount val="4"/>
                <c:pt idx="0">
                  <c:v>11979</c:v>
                </c:pt>
                <c:pt idx="1">
                  <c:v>20368</c:v>
                </c:pt>
                <c:pt idx="2">
                  <c:v>19856</c:v>
                </c:pt>
                <c:pt idx="3">
                  <c:v>512</c:v>
                </c:pt>
              </c:numCache>
            </c:numRef>
          </c:val>
        </c:ser>
        <c:dLbls>
          <c:showLegendKey val="0"/>
          <c:showVal val="0"/>
          <c:showCatName val="0"/>
          <c:showSerName val="0"/>
          <c:showPercent val="0"/>
          <c:showBubbleSize val="0"/>
        </c:dLbls>
        <c:gapWidth val="75"/>
        <c:axId val="173597056"/>
        <c:axId val="173598592"/>
      </c:barChart>
      <c:catAx>
        <c:axId val="173597056"/>
        <c:scaling>
          <c:orientation val="minMax"/>
        </c:scaling>
        <c:delete val="0"/>
        <c:axPos val="b"/>
        <c:majorTickMark val="none"/>
        <c:minorTickMark val="none"/>
        <c:tickLblPos val="nextTo"/>
        <c:crossAx val="173598592"/>
        <c:crosses val="autoZero"/>
        <c:auto val="1"/>
        <c:lblAlgn val="ctr"/>
        <c:lblOffset val="100"/>
        <c:noMultiLvlLbl val="0"/>
      </c:catAx>
      <c:valAx>
        <c:axId val="173598592"/>
        <c:scaling>
          <c:orientation val="minMax"/>
        </c:scaling>
        <c:delete val="0"/>
        <c:axPos val="l"/>
        <c:majorGridlines/>
        <c:numFmt formatCode="General" sourceLinked="1"/>
        <c:majorTickMark val="none"/>
        <c:minorTickMark val="none"/>
        <c:tickLblPos val="nextTo"/>
        <c:crossAx val="173597056"/>
        <c:crosses val="autoZero"/>
        <c:crossBetween val="between"/>
      </c:valAx>
    </c:plotArea>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42"/>
    </mc:Choice>
    <mc:Fallback>
      <c:style val="42"/>
    </mc:Fallback>
  </mc:AlternateContent>
  <c:chart>
    <c:title>
      <c:tx>
        <c:rich>
          <a:bodyPr/>
          <a:lstStyle/>
          <a:p>
            <a:pPr>
              <a:defRPr/>
            </a:pPr>
            <a:r>
              <a:rPr lang="en-US">
                <a:solidFill>
                  <a:srgbClr val="FF0000"/>
                </a:solidFill>
              </a:rPr>
              <a:t>PRESUPUESTO INICIAL</a:t>
            </a:r>
          </a:p>
        </c:rich>
      </c:tx>
      <c:overlay val="0"/>
    </c:title>
    <c:autoTitleDeleted val="0"/>
    <c:plotArea>
      <c:layout/>
      <c:pieChart>
        <c:varyColors val="1"/>
        <c:ser>
          <c:idx val="0"/>
          <c:order val="0"/>
          <c:tx>
            <c:strRef>
              <c:f>Hoja1!$B$1</c:f>
              <c:strCache>
                <c:ptCount val="1"/>
                <c:pt idx="0">
                  <c:v>PRESUPUESTO INICIAL</c:v>
                </c:pt>
              </c:strCache>
            </c:strRef>
          </c:tx>
          <c:explosion val="15"/>
          <c:dLbls>
            <c:dLbl>
              <c:idx val="0"/>
              <c:tx>
                <c:rich>
                  <a:bodyPr/>
                  <a:lstStyle/>
                  <a:p>
                    <a:r>
                      <a:rPr lang="en-US"/>
                      <a:t>14.43%</a:t>
                    </a:r>
                  </a:p>
                </c:rich>
              </c:tx>
              <c:showLegendKey val="0"/>
              <c:showVal val="0"/>
              <c:showCatName val="0"/>
              <c:showSerName val="0"/>
              <c:showPercent val="1"/>
              <c:showBubbleSize val="0"/>
            </c:dLbl>
            <c:dLbl>
              <c:idx val="1"/>
              <c:delete val="1"/>
            </c:dLbl>
            <c:dLbl>
              <c:idx val="2"/>
              <c:tx>
                <c:rich>
                  <a:bodyPr/>
                  <a:lstStyle/>
                  <a:p>
                    <a:r>
                      <a:rPr lang="en-US"/>
                      <a:t>85.57%</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Hoja1!$A$2:$A$4</c:f>
              <c:strCache>
                <c:ptCount val="3"/>
                <c:pt idx="0">
                  <c:v>Funcionamiento  14.43%</c:v>
                </c:pt>
                <c:pt idx="1">
                  <c:v>Deuda Pública  0%</c:v>
                </c:pt>
                <c:pt idx="2">
                  <c:v>Inversión    85.57%</c:v>
                </c:pt>
              </c:strCache>
            </c:strRef>
          </c:cat>
          <c:val>
            <c:numRef>
              <c:f>Hoja1!$B$2:$B$4</c:f>
              <c:numCache>
                <c:formatCode>General</c:formatCode>
                <c:ptCount val="3"/>
                <c:pt idx="0">
                  <c:v>1728</c:v>
                </c:pt>
                <c:pt idx="1">
                  <c:v>0</c:v>
                </c:pt>
                <c:pt idx="2">
                  <c:v>10250</c:v>
                </c:pt>
              </c:numCache>
            </c:numRef>
          </c:val>
        </c:ser>
        <c:dLbls>
          <c:showLegendKey val="0"/>
          <c:showVal val="0"/>
          <c:showCatName val="0"/>
          <c:showSerName val="0"/>
          <c:showPercent val="1"/>
          <c:showBubbleSize val="0"/>
          <c:showLeaderLines val="1"/>
        </c:dLbls>
        <c:firstSliceAng val="0"/>
      </c:pieChart>
    </c:plotArea>
    <c:legend>
      <c:legendPos val="r"/>
      <c:legendEntry>
        <c:idx val="0"/>
        <c:txPr>
          <a:bodyPr/>
          <a:lstStyle/>
          <a:p>
            <a:pPr>
              <a:defRPr>
                <a:solidFill>
                  <a:srgbClr val="FF0000"/>
                </a:solidFill>
              </a:defRPr>
            </a:pPr>
            <a:endParaRPr lang="es-CO"/>
          </a:p>
        </c:txPr>
      </c:legendEntry>
      <c:legendEntry>
        <c:idx val="1"/>
        <c:txPr>
          <a:bodyPr/>
          <a:lstStyle/>
          <a:p>
            <a:pPr>
              <a:defRPr>
                <a:solidFill>
                  <a:srgbClr val="FF0000"/>
                </a:solidFill>
              </a:defRPr>
            </a:pPr>
            <a:endParaRPr lang="es-CO"/>
          </a:p>
        </c:txPr>
      </c:legendEntry>
      <c:legendEntry>
        <c:idx val="2"/>
        <c:txPr>
          <a:bodyPr/>
          <a:lstStyle/>
          <a:p>
            <a:pPr>
              <a:defRPr>
                <a:solidFill>
                  <a:srgbClr val="FF0000"/>
                </a:solidFill>
              </a:defRPr>
            </a:pPr>
            <a:endParaRPr lang="es-CO"/>
          </a:p>
        </c:txPr>
      </c:legendEntry>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atin typeface="Times New Roman" pitchFamily="18" charset="0"/>
                <a:cs typeface="Times New Roman" pitchFamily="18" charset="0"/>
              </a:rPr>
              <a:t>GASTOS DE FUNCIONAMIENTO</a:t>
            </a:r>
          </a:p>
        </c:rich>
      </c:tx>
      <c:overlay val="0"/>
    </c:title>
    <c:autoTitleDeleted val="0"/>
    <c:plotArea>
      <c:layout/>
      <c:pieChart>
        <c:varyColors val="1"/>
        <c:ser>
          <c:idx val="0"/>
          <c:order val="0"/>
          <c:tx>
            <c:strRef>
              <c:f>Hoja1!$B$1</c:f>
              <c:strCache>
                <c:ptCount val="1"/>
                <c:pt idx="0">
                  <c:v>Columna1</c:v>
                </c:pt>
              </c:strCache>
            </c:strRef>
          </c:tx>
          <c:dLbls>
            <c:dLbl>
              <c:idx val="0"/>
              <c:tx>
                <c:rich>
                  <a:bodyPr/>
                  <a:lstStyle/>
                  <a:p>
                    <a:r>
                      <a:rPr lang="en-US"/>
                      <a:t>Servicios Personales 
4.46%</a:t>
                    </a:r>
                  </a:p>
                </c:rich>
              </c:tx>
              <c:showLegendKey val="0"/>
              <c:showVal val="0"/>
              <c:showCatName val="0"/>
              <c:showSerName val="0"/>
              <c:showPercent val="1"/>
              <c:showBubbleSize val="0"/>
            </c:dLbl>
            <c:dLbl>
              <c:idx val="1"/>
              <c:tx>
                <c:rich>
                  <a:bodyPr/>
                  <a:lstStyle/>
                  <a:p>
                    <a:r>
                      <a:rPr lang="en-US"/>
                      <a:t>Gastos Generales
4.16%</a:t>
                    </a:r>
                  </a:p>
                </c:rich>
              </c:tx>
              <c:showLegendKey val="0"/>
              <c:showVal val="0"/>
              <c:showCatName val="0"/>
              <c:showSerName val="0"/>
              <c:showPercent val="1"/>
              <c:showBubbleSize val="0"/>
            </c:dLbl>
            <c:dLbl>
              <c:idx val="2"/>
              <c:layout>
                <c:manualLayout>
                  <c:x val="0.12973443423738698"/>
                  <c:y val="2.6088953167432833E-2"/>
                </c:manualLayout>
              </c:layout>
              <c:tx>
                <c:rich>
                  <a:bodyPr/>
                  <a:lstStyle/>
                  <a:p>
                    <a:r>
                      <a:rPr lang="en-US"/>
                      <a:t>Transferencias
5.69%</a:t>
                    </a:r>
                  </a:p>
                </c:rich>
              </c:tx>
              <c:showLegendKey val="0"/>
              <c:showVal val="0"/>
              <c:showCatName val="0"/>
              <c:showSerName val="0"/>
              <c:showPercent val="1"/>
              <c:showBubbleSize val="0"/>
            </c:dLbl>
            <c:dLbl>
              <c:idx val="3"/>
              <c:tx>
                <c:rich>
                  <a:bodyPr/>
                  <a:lstStyle/>
                  <a:p>
                    <a:r>
                      <a:rPr lang="en-US"/>
                      <a:t>0.13%</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Hoja1!$A$2:$A$5</c:f>
              <c:strCache>
                <c:ptCount val="4"/>
                <c:pt idx="0">
                  <c:v>Servicios Personales  4.46%</c:v>
                </c:pt>
                <c:pt idx="1">
                  <c:v>Gastos Generales  4.16%</c:v>
                </c:pt>
                <c:pt idx="2">
                  <c:v>Transferencias   5.69%</c:v>
                </c:pt>
                <c:pt idx="3">
                  <c:v>Fondo de  Contingncias  0.13%</c:v>
                </c:pt>
              </c:strCache>
            </c:strRef>
          </c:cat>
          <c:val>
            <c:numRef>
              <c:f>Hoja1!$B$2:$B$5</c:f>
              <c:numCache>
                <c:formatCode>General</c:formatCode>
                <c:ptCount val="4"/>
                <c:pt idx="0">
                  <c:v>534</c:v>
                </c:pt>
                <c:pt idx="1">
                  <c:v>498</c:v>
                </c:pt>
                <c:pt idx="2">
                  <c:v>681</c:v>
                </c:pt>
                <c:pt idx="3">
                  <c:v>15</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spPr>
    <a:pattFill prst="pct5">
      <a:fgClr>
        <a:schemeClr val="accent1"/>
      </a:fgClr>
      <a:bgClr>
        <a:schemeClr val="bg1"/>
      </a:bgClr>
    </a:pattFill>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PRESUPUESTO INICIAL GASTOS DE INVERSION</a:t>
            </a:r>
          </a:p>
        </c:rich>
      </c:tx>
      <c:layout>
        <c:manualLayout>
          <c:xMode val="edge"/>
          <c:yMode val="edge"/>
          <c:x val="0.23959933278867102"/>
          <c:y val="0"/>
        </c:manualLayout>
      </c:layout>
      <c:overlay val="0"/>
    </c:title>
    <c:autoTitleDeleted val="0"/>
    <c:plotArea>
      <c:layout/>
      <c:pieChart>
        <c:varyColors val="1"/>
        <c:ser>
          <c:idx val="0"/>
          <c:order val="0"/>
          <c:tx>
            <c:strRef>
              <c:f>Hoja1!$B$1</c:f>
              <c:strCache>
                <c:ptCount val="1"/>
                <c:pt idx="0">
                  <c:v>PRESUPUESTO INICIAL GASTOS DE INVERSION</c:v>
                </c:pt>
              </c:strCache>
            </c:strRef>
          </c:tx>
          <c:explosion val="17"/>
          <c:dPt>
            <c:idx val="0"/>
            <c:bubble3D val="0"/>
            <c:explosion val="0"/>
          </c:dPt>
          <c:dLbls>
            <c:dLbl>
              <c:idx val="0"/>
              <c:tx>
                <c:rich>
                  <a:bodyPr/>
                  <a:lstStyle/>
                  <a:p>
                    <a:r>
                      <a:rPr lang="en-US"/>
                      <a:t>Sector Salud 
39.79%</a:t>
                    </a:r>
                  </a:p>
                </c:rich>
              </c:tx>
              <c:showLegendKey val="0"/>
              <c:showVal val="0"/>
              <c:showCatName val="1"/>
              <c:showSerName val="0"/>
              <c:showPercent val="1"/>
              <c:showBubbleSize val="0"/>
            </c:dLbl>
            <c:dLbl>
              <c:idx val="1"/>
              <c:layout>
                <c:manualLayout>
                  <c:x val="4.9745546532704694E-2"/>
                  <c:y val="1.0960849602873982E-2"/>
                </c:manualLayout>
              </c:layout>
              <c:tx>
                <c:rich>
                  <a:bodyPr/>
                  <a:lstStyle/>
                  <a:p>
                    <a:r>
                      <a:rPr lang="en-US"/>
                      <a:t>Sector Justicia
0.51%</a:t>
                    </a:r>
                  </a:p>
                </c:rich>
              </c:tx>
              <c:showLegendKey val="0"/>
              <c:showVal val="0"/>
              <c:showCatName val="1"/>
              <c:showSerName val="0"/>
              <c:showPercent val="1"/>
              <c:showBubbleSize val="0"/>
            </c:dLbl>
            <c:dLbl>
              <c:idx val="2"/>
              <c:layout>
                <c:manualLayout>
                  <c:x val="-4.7074274214332919E-2"/>
                  <c:y val="1.7784166035360108E-2"/>
                </c:manualLayout>
              </c:layout>
              <c:tx>
                <c:rich>
                  <a:bodyPr/>
                  <a:lstStyle/>
                  <a:p>
                    <a:r>
                      <a:rPr lang="en-US"/>
                      <a:t>Sector Transporte
7.43%</a:t>
                    </a:r>
                  </a:p>
                </c:rich>
              </c:tx>
              <c:showLegendKey val="0"/>
              <c:showVal val="0"/>
              <c:showCatName val="1"/>
              <c:showSerName val="0"/>
              <c:showPercent val="1"/>
              <c:showBubbleSize val="0"/>
            </c:dLbl>
            <c:dLbl>
              <c:idx val="3"/>
              <c:layout>
                <c:manualLayout>
                  <c:x val="-8.0857256835964911E-2"/>
                  <c:y val="6.9085964049515669E-2"/>
                </c:manualLayout>
              </c:layout>
              <c:tx>
                <c:rich>
                  <a:bodyPr/>
                  <a:lstStyle/>
                  <a:p>
                    <a:r>
                      <a:rPr lang="en-US"/>
                      <a:t>Sector Educación 
7.46%</a:t>
                    </a:r>
                  </a:p>
                </c:rich>
              </c:tx>
              <c:showLegendKey val="0"/>
              <c:showVal val="0"/>
              <c:showCatName val="1"/>
              <c:showSerName val="0"/>
              <c:showPercent val="1"/>
              <c:showBubbleSize val="0"/>
            </c:dLbl>
            <c:dLbl>
              <c:idx val="4"/>
              <c:layout>
                <c:manualLayout>
                  <c:x val="-0.11687966813449842"/>
                  <c:y val="5.1698036019075765E-2"/>
                </c:manualLayout>
              </c:layout>
              <c:tx>
                <c:rich>
                  <a:bodyPr/>
                  <a:lstStyle/>
                  <a:p>
                    <a:r>
                      <a:rPr lang="en-US"/>
                      <a:t>Sector Medio Ambiente
1.45%</a:t>
                    </a:r>
                  </a:p>
                </c:rich>
              </c:tx>
              <c:showLegendKey val="0"/>
              <c:showVal val="0"/>
              <c:showCatName val="1"/>
              <c:showSerName val="0"/>
              <c:showPercent val="1"/>
              <c:showBubbleSize val="0"/>
            </c:dLbl>
            <c:dLbl>
              <c:idx val="5"/>
              <c:tx>
                <c:rich>
                  <a:bodyPr/>
                  <a:lstStyle/>
                  <a:p>
                    <a:r>
                      <a:rPr lang="en-US"/>
                      <a:t>Sector Agropecuario 
1.27%</a:t>
                    </a:r>
                  </a:p>
                </c:rich>
              </c:tx>
              <c:showLegendKey val="0"/>
              <c:showVal val="0"/>
              <c:showCatName val="1"/>
              <c:showSerName val="0"/>
              <c:showPercent val="1"/>
              <c:showBubbleSize val="0"/>
            </c:dLbl>
            <c:dLbl>
              <c:idx val="6"/>
              <c:tx>
                <c:rich>
                  <a:bodyPr/>
                  <a:lstStyle/>
                  <a:p>
                    <a:r>
                      <a:rPr lang="en-US"/>
                      <a:t>Saneamiento Básico
9.45%</a:t>
                    </a:r>
                  </a:p>
                </c:rich>
              </c:tx>
              <c:showLegendKey val="0"/>
              <c:showVal val="0"/>
              <c:showCatName val="1"/>
              <c:showSerName val="0"/>
              <c:showPercent val="1"/>
              <c:showBubbleSize val="0"/>
            </c:dLbl>
            <c:dLbl>
              <c:idx val="7"/>
              <c:layout>
                <c:manualLayout>
                  <c:x val="-2.7018169415058985E-2"/>
                  <c:y val="1.2977253978762378E-2"/>
                </c:manualLayout>
              </c:layout>
              <c:tx>
                <c:rich>
                  <a:bodyPr/>
                  <a:lstStyle/>
                  <a:p>
                    <a:r>
                      <a:rPr lang="en-US"/>
                      <a:t>Sector vivienda
6.19%</a:t>
                    </a:r>
                  </a:p>
                </c:rich>
              </c:tx>
              <c:showLegendKey val="0"/>
              <c:showVal val="0"/>
              <c:showCatName val="1"/>
              <c:showSerName val="0"/>
              <c:showPercent val="1"/>
              <c:showBubbleSize val="0"/>
            </c:dLbl>
            <c:dLbl>
              <c:idx val="8"/>
              <c:layout>
                <c:manualLayout>
                  <c:x val="-2.5661566256144418E-2"/>
                  <c:y val="6.7323715426396797E-3"/>
                </c:manualLayout>
              </c:layout>
              <c:tx>
                <c:rich>
                  <a:bodyPr/>
                  <a:lstStyle/>
                  <a:p>
                    <a:r>
                      <a:rPr lang="en-US"/>
                      <a:t>Sector comunitario 
3.59%</a:t>
                    </a:r>
                  </a:p>
                </c:rich>
              </c:tx>
              <c:showLegendKey val="0"/>
              <c:showVal val="0"/>
              <c:showCatName val="1"/>
              <c:showSerName val="0"/>
              <c:showPercent val="1"/>
              <c:showBubbleSize val="0"/>
            </c:dLbl>
            <c:dLbl>
              <c:idx val="9"/>
              <c:layout>
                <c:manualLayout>
                  <c:x val="7.355955661252403E-2"/>
                  <c:y val="-6.7075279043025779E-2"/>
                </c:manualLayout>
              </c:layout>
              <c:tx>
                <c:rich>
                  <a:bodyPr/>
                  <a:lstStyle/>
                  <a:p>
                    <a:r>
                      <a:rPr lang="en-US"/>
                      <a:t>Sector Arte y cultura 
2.05%</a:t>
                    </a:r>
                  </a:p>
                </c:rich>
              </c:tx>
              <c:showLegendKey val="0"/>
              <c:showVal val="0"/>
              <c:showCatName val="1"/>
              <c:showSerName val="0"/>
              <c:showPercent val="1"/>
              <c:showBubbleSize val="0"/>
            </c:dLbl>
            <c:dLbl>
              <c:idx val="10"/>
              <c:layout>
                <c:manualLayout>
                  <c:x val="0.2203749821135238"/>
                  <c:y val="-2.7452056739411541E-2"/>
                </c:manualLayout>
              </c:layout>
              <c:tx>
                <c:rich>
                  <a:bodyPr/>
                  <a:lstStyle/>
                  <a:p>
                    <a:r>
                      <a:rPr lang="en-US"/>
                      <a:t>Sector Deporte 
1.51%</a:t>
                    </a:r>
                  </a:p>
                </c:rich>
              </c:tx>
              <c:showLegendKey val="0"/>
              <c:showVal val="0"/>
              <c:showCatName val="1"/>
              <c:showSerName val="0"/>
              <c:showPercent val="1"/>
              <c:showBubbleSize val="0"/>
            </c:dLbl>
            <c:dLbl>
              <c:idx val="11"/>
              <c:layout>
                <c:manualLayout>
                  <c:x val="0.18105944165687782"/>
                  <c:y val="0.30299285240532392"/>
                </c:manualLayout>
              </c:layout>
              <c:tx>
                <c:rich>
                  <a:bodyPr/>
                  <a:lstStyle/>
                  <a:p>
                    <a:pPr>
                      <a:defRPr/>
                    </a:pPr>
                    <a:r>
                      <a:rPr lang="en-US"/>
                      <a:t>Otros Sectores
3.33%</a:t>
                    </a:r>
                  </a:p>
                </c:rich>
              </c:tx>
              <c:numFmt formatCode="#,##0.00" sourceLinked="0"/>
              <c:spPr/>
              <c:showLegendKey val="0"/>
              <c:showVal val="0"/>
              <c:showCatName val="1"/>
              <c:showSerName val="0"/>
              <c:showPercent val="1"/>
              <c:showBubbleSize val="0"/>
            </c:dLbl>
            <c:showLegendKey val="0"/>
            <c:showVal val="0"/>
            <c:showCatName val="1"/>
            <c:showSerName val="0"/>
            <c:showPercent val="1"/>
            <c:showBubbleSize val="0"/>
            <c:showLeaderLines val="1"/>
          </c:dLbls>
          <c:cat>
            <c:strRef>
              <c:f>Hoja1!$A$2:$A$14</c:f>
              <c:strCache>
                <c:ptCount val="12"/>
                <c:pt idx="0">
                  <c:v>Sector Salud </c:v>
                </c:pt>
                <c:pt idx="1">
                  <c:v>Sector Justicia</c:v>
                </c:pt>
                <c:pt idx="2">
                  <c:v>Sector Transporte</c:v>
                </c:pt>
                <c:pt idx="3">
                  <c:v>Sector Educación </c:v>
                </c:pt>
                <c:pt idx="4">
                  <c:v>Sector Medio Ambiente</c:v>
                </c:pt>
                <c:pt idx="5">
                  <c:v>Sector Agropecuario </c:v>
                </c:pt>
                <c:pt idx="6">
                  <c:v>Saneamiento Básico</c:v>
                </c:pt>
                <c:pt idx="7">
                  <c:v>Sector vivienda</c:v>
                </c:pt>
                <c:pt idx="8">
                  <c:v>Sector comunitario </c:v>
                </c:pt>
                <c:pt idx="9">
                  <c:v>Sector Arte y cultura </c:v>
                </c:pt>
                <c:pt idx="10">
                  <c:v>Sector Deporte </c:v>
                </c:pt>
                <c:pt idx="11">
                  <c:v>otros Sectores</c:v>
                </c:pt>
              </c:strCache>
            </c:strRef>
          </c:cat>
          <c:val>
            <c:numRef>
              <c:f>Hoja1!$B$2:$B$14</c:f>
              <c:numCache>
                <c:formatCode>General</c:formatCode>
                <c:ptCount val="13"/>
                <c:pt idx="0">
                  <c:v>39.79</c:v>
                </c:pt>
                <c:pt idx="1">
                  <c:v>0.51</c:v>
                </c:pt>
                <c:pt idx="2">
                  <c:v>7.43</c:v>
                </c:pt>
                <c:pt idx="3">
                  <c:v>7.46</c:v>
                </c:pt>
                <c:pt idx="4">
                  <c:v>1.45</c:v>
                </c:pt>
                <c:pt idx="5">
                  <c:v>1.27</c:v>
                </c:pt>
                <c:pt idx="6">
                  <c:v>9.4499999999999993</c:v>
                </c:pt>
                <c:pt idx="7">
                  <c:v>6.19</c:v>
                </c:pt>
                <c:pt idx="8">
                  <c:v>3.59</c:v>
                </c:pt>
                <c:pt idx="9">
                  <c:v>2.0499999999999998</c:v>
                </c:pt>
                <c:pt idx="10">
                  <c:v>1.51</c:v>
                </c:pt>
                <c:pt idx="11">
                  <c:v>3.33</c:v>
                </c:pt>
              </c:numCache>
            </c:numRef>
          </c:val>
        </c:ser>
        <c:dLbls>
          <c:showLegendKey val="0"/>
          <c:showVal val="0"/>
          <c:showCatName val="1"/>
          <c:showSerName val="0"/>
          <c:showPercent val="1"/>
          <c:showBubbleSize val="0"/>
          <c:showLeaderLines val="1"/>
        </c:dLbls>
        <c:firstSliceAng val="47"/>
      </c:pieChart>
    </c:plotArea>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151B9-CA68-44C9-A8CE-66DB43FA7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1</Pages>
  <Words>1775</Words>
  <Characters>9765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contraloria</cp:lastModifiedBy>
  <cp:revision>38</cp:revision>
  <cp:lastPrinted>2014-07-25T20:07:00Z</cp:lastPrinted>
  <dcterms:created xsi:type="dcterms:W3CDTF">2016-10-13T14:31:00Z</dcterms:created>
  <dcterms:modified xsi:type="dcterms:W3CDTF">2016-12-23T17:02:00Z</dcterms:modified>
</cp:coreProperties>
</file>