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91C" w:rsidRPr="00EA2D8B" w:rsidRDefault="00BB691C" w:rsidP="00BB691C">
      <w:pPr>
        <w:spacing w:after="0" w:line="19" w:lineRule="atLeast"/>
        <w:jc w:val="center"/>
        <w:rPr>
          <w:rFonts w:ascii="Tahoma" w:hAnsi="Tahoma" w:cs="Tahoma"/>
          <w:b/>
        </w:rPr>
      </w:pPr>
      <w:r w:rsidRPr="00EA2D8B">
        <w:rPr>
          <w:rFonts w:ascii="Tahoma" w:hAnsi="Tahoma" w:cs="Tahoma"/>
          <w:b/>
        </w:rPr>
        <w:t>INFORME FISCAL Y FINANCIERO</w:t>
      </w:r>
    </w:p>
    <w:p w:rsidR="00BB691C" w:rsidRDefault="005A555A" w:rsidP="00BB691C">
      <w:pPr>
        <w:spacing w:after="0" w:line="19" w:lineRule="atLeast"/>
        <w:jc w:val="center"/>
        <w:rPr>
          <w:rFonts w:ascii="Tahoma" w:hAnsi="Tahoma" w:cs="Tahoma"/>
          <w:b/>
        </w:rPr>
      </w:pPr>
      <w:r>
        <w:rPr>
          <w:rFonts w:ascii="Tahoma" w:hAnsi="Tahoma" w:cs="Tahoma"/>
          <w:b/>
        </w:rPr>
        <w:t>MUNICIPIO DE HERVEO</w:t>
      </w:r>
    </w:p>
    <w:p w:rsidR="00BB691C" w:rsidRPr="00EA2D8B" w:rsidRDefault="00BB691C" w:rsidP="00BB691C">
      <w:pPr>
        <w:spacing w:after="0" w:line="19" w:lineRule="atLeast"/>
        <w:jc w:val="center"/>
        <w:rPr>
          <w:rFonts w:ascii="Tahoma" w:hAnsi="Tahoma" w:cs="Tahoma"/>
          <w:b/>
        </w:rPr>
      </w:pPr>
      <w:r>
        <w:rPr>
          <w:rFonts w:ascii="Tahoma" w:hAnsi="Tahoma" w:cs="Tahoma"/>
          <w:b/>
        </w:rPr>
        <w:t xml:space="preserve"> VIGENCIA 2015</w:t>
      </w:r>
    </w:p>
    <w:p w:rsidR="00BB691C" w:rsidRDefault="00BB691C" w:rsidP="00BB691C">
      <w:pPr>
        <w:spacing w:after="0" w:line="19" w:lineRule="atLeast"/>
        <w:rPr>
          <w:rFonts w:ascii="Tahoma" w:hAnsi="Tahoma" w:cs="Tahoma"/>
          <w:sz w:val="16"/>
        </w:rPr>
      </w:pPr>
    </w:p>
    <w:p w:rsidR="00BB691C" w:rsidRDefault="00BB691C" w:rsidP="00BB691C">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BB691C" w:rsidRDefault="00BB691C" w:rsidP="00BB691C">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Pr>
          <w:rFonts w:ascii="Tahoma" w:hAnsi="Tahoma" w:cs="Tahoma"/>
          <w:b w:val="0"/>
          <w:sz w:val="22"/>
          <w:szCs w:val="22"/>
        </w:rPr>
        <w:t>Gastos de la vigencia 2015.</w:t>
      </w:r>
    </w:p>
    <w:p w:rsidR="00BB691C" w:rsidRDefault="00BB691C" w:rsidP="00BB691C">
      <w:pPr>
        <w:tabs>
          <w:tab w:val="left" w:pos="3453"/>
          <w:tab w:val="left" w:pos="7344"/>
        </w:tabs>
        <w:rPr>
          <w:lang w:eastAsia="es-ES"/>
        </w:rPr>
      </w:pPr>
      <w:r>
        <w:rPr>
          <w:lang w:eastAsia="es-ES"/>
        </w:rPr>
        <w:tab/>
      </w:r>
      <w:r>
        <w:rPr>
          <w:lang w:eastAsia="es-ES"/>
        </w:rPr>
        <w:tab/>
      </w:r>
    </w:p>
    <w:p w:rsidR="00BB691C" w:rsidRPr="00231ECA" w:rsidRDefault="00BB691C" w:rsidP="00BB691C">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Información Financiera Pública Chip, información de la Contraloría General de la República y la información presupu</w:t>
      </w:r>
      <w:bookmarkStart w:id="0" w:name="_GoBack"/>
      <w:bookmarkEnd w:id="0"/>
      <w:r w:rsidRPr="00231ECA">
        <w:rPr>
          <w:rFonts w:ascii="Tahoma" w:hAnsi="Tahoma" w:cs="Tahoma"/>
          <w:color w:val="000000" w:themeColor="text1"/>
        </w:rPr>
        <w:t>estal suministrada por el ente Territorial.</w:t>
      </w:r>
    </w:p>
    <w:p w:rsidR="00BB691C" w:rsidRDefault="00BB691C" w:rsidP="00BB691C">
      <w:pPr>
        <w:jc w:val="center"/>
        <w:rPr>
          <w:rFonts w:ascii="Tahoma" w:hAnsi="Tahoma" w:cs="Tahoma"/>
          <w:b/>
          <w:color w:val="000000" w:themeColor="text1"/>
        </w:rPr>
      </w:pPr>
      <w:r w:rsidRPr="00231ECA">
        <w:rPr>
          <w:rFonts w:ascii="Tahoma" w:hAnsi="Tahoma" w:cs="Tahoma"/>
          <w:b/>
          <w:color w:val="000000" w:themeColor="text1"/>
        </w:rPr>
        <w:t>CAPITULO 1</w:t>
      </w:r>
    </w:p>
    <w:p w:rsidR="003D6523" w:rsidRPr="00231ECA" w:rsidRDefault="003D6523" w:rsidP="00BB691C">
      <w:pPr>
        <w:jc w:val="center"/>
        <w:rPr>
          <w:rFonts w:ascii="Tahoma" w:hAnsi="Tahoma" w:cs="Tahoma"/>
          <w:b/>
          <w:color w:val="000000" w:themeColor="text1"/>
        </w:rPr>
      </w:pPr>
    </w:p>
    <w:p w:rsidR="00BB691C" w:rsidRPr="00231ECA" w:rsidRDefault="00BB691C" w:rsidP="00BB691C">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BB691C" w:rsidRPr="00231ECA" w:rsidRDefault="00BB691C" w:rsidP="00BB691C">
      <w:pPr>
        <w:rPr>
          <w:rFonts w:ascii="Tahoma" w:hAnsi="Tahoma" w:cs="Tahoma"/>
          <w:lang w:eastAsia="es-ES"/>
        </w:rPr>
      </w:pPr>
    </w:p>
    <w:p w:rsidR="00BB691C" w:rsidRPr="00231ECA" w:rsidRDefault="00BB691C" w:rsidP="00BB691C">
      <w:pPr>
        <w:pStyle w:val="Ttulo1"/>
        <w:numPr>
          <w:ilvl w:val="0"/>
          <w:numId w:val="4"/>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BB691C" w:rsidRPr="00231ECA" w:rsidRDefault="00BB691C" w:rsidP="00BB691C">
      <w:pPr>
        <w:tabs>
          <w:tab w:val="left" w:pos="2835"/>
        </w:tabs>
        <w:spacing w:after="0" w:line="19" w:lineRule="atLeast"/>
        <w:jc w:val="both"/>
        <w:rPr>
          <w:rFonts w:ascii="Tahoma" w:hAnsi="Tahoma" w:cs="Tahoma"/>
        </w:rPr>
      </w:pPr>
    </w:p>
    <w:p w:rsidR="00DC1807" w:rsidRDefault="00BB691C" w:rsidP="00BB691C">
      <w:pPr>
        <w:tabs>
          <w:tab w:val="left" w:pos="2835"/>
        </w:tabs>
        <w:spacing w:after="0" w:line="19" w:lineRule="atLeast"/>
        <w:jc w:val="both"/>
        <w:rPr>
          <w:rFonts w:ascii="Tahoma" w:hAnsi="Tahoma" w:cs="Tahoma"/>
          <w:b/>
        </w:rPr>
      </w:pPr>
      <w:r w:rsidRPr="00231ECA">
        <w:rPr>
          <w:rFonts w:ascii="Tahoma" w:hAnsi="Tahoma" w:cs="Tahoma"/>
        </w:rPr>
        <w:t xml:space="preserve">El presupuesto de Rentas y Recursos de Capital y Gastos de la vigencia 2015 del Municipio de </w:t>
      </w:r>
      <w:r w:rsidR="005A555A">
        <w:rPr>
          <w:rFonts w:ascii="Tahoma" w:hAnsi="Tahoma" w:cs="Tahoma"/>
        </w:rPr>
        <w:t>Herveo</w:t>
      </w:r>
      <w:r w:rsidRPr="00231ECA">
        <w:rPr>
          <w:rFonts w:ascii="Tahoma" w:hAnsi="Tahoma" w:cs="Tahoma"/>
        </w:rPr>
        <w:t>, fue aprobado por el Concejo Municipal mediante Acuerdo No</w:t>
      </w:r>
      <w:r w:rsidRPr="00A6547B">
        <w:rPr>
          <w:rFonts w:ascii="Tahoma" w:hAnsi="Tahoma" w:cs="Tahoma"/>
        </w:rPr>
        <w:t xml:space="preserve">. </w:t>
      </w:r>
      <w:r w:rsidRPr="00A6547B">
        <w:rPr>
          <w:rFonts w:ascii="Tahoma" w:hAnsi="Tahoma" w:cs="Tahoma"/>
          <w:b/>
        </w:rPr>
        <w:t>01</w:t>
      </w:r>
      <w:r w:rsidR="006D2B08">
        <w:rPr>
          <w:rFonts w:ascii="Tahoma" w:hAnsi="Tahoma" w:cs="Tahoma"/>
          <w:b/>
        </w:rPr>
        <w:t xml:space="preserve">1 </w:t>
      </w:r>
      <w:r w:rsidRPr="00F603D9">
        <w:rPr>
          <w:rFonts w:ascii="Tahoma" w:hAnsi="Tahoma" w:cs="Tahoma"/>
        </w:rPr>
        <w:t xml:space="preserve">del </w:t>
      </w:r>
      <w:r w:rsidR="006D2B08" w:rsidRPr="00F603D9">
        <w:rPr>
          <w:rFonts w:ascii="Tahoma" w:hAnsi="Tahoma" w:cs="Tahoma"/>
        </w:rPr>
        <w:t>30</w:t>
      </w:r>
      <w:r w:rsidRPr="00F603D9">
        <w:rPr>
          <w:rFonts w:ascii="Tahoma" w:hAnsi="Tahoma" w:cs="Tahoma"/>
        </w:rPr>
        <w:t xml:space="preserve"> de </w:t>
      </w:r>
      <w:r w:rsidR="006D2B08" w:rsidRPr="00F603D9">
        <w:rPr>
          <w:rFonts w:ascii="Tahoma" w:hAnsi="Tahoma" w:cs="Tahoma"/>
        </w:rPr>
        <w:t>Novi</w:t>
      </w:r>
      <w:r w:rsidRPr="00F603D9">
        <w:rPr>
          <w:rFonts w:ascii="Tahoma" w:hAnsi="Tahoma" w:cs="Tahoma"/>
        </w:rPr>
        <w:t xml:space="preserve">embre de 2014 y </w:t>
      </w:r>
      <w:r w:rsidR="00F603D9" w:rsidRPr="00F603D9">
        <w:rPr>
          <w:rFonts w:ascii="Tahoma" w:hAnsi="Tahoma" w:cs="Tahoma"/>
        </w:rPr>
        <w:t>Liquidado mediante</w:t>
      </w:r>
      <w:r w:rsidRPr="00F603D9">
        <w:rPr>
          <w:rFonts w:ascii="Tahoma" w:hAnsi="Tahoma" w:cs="Tahoma"/>
        </w:rPr>
        <w:t xml:space="preserve"> Decreto</w:t>
      </w:r>
      <w:r w:rsidRPr="00A6547B">
        <w:rPr>
          <w:rFonts w:ascii="Tahoma" w:hAnsi="Tahoma" w:cs="Tahoma"/>
          <w:b/>
        </w:rPr>
        <w:t xml:space="preserve"> </w:t>
      </w:r>
      <w:r w:rsidR="006D2B08">
        <w:rPr>
          <w:rFonts w:ascii="Tahoma" w:hAnsi="Tahoma" w:cs="Tahoma"/>
          <w:b/>
        </w:rPr>
        <w:t>001</w:t>
      </w:r>
      <w:r w:rsidRPr="00A6547B">
        <w:rPr>
          <w:rFonts w:ascii="Tahoma" w:hAnsi="Tahoma" w:cs="Tahoma"/>
          <w:b/>
        </w:rPr>
        <w:t xml:space="preserve"> </w:t>
      </w:r>
      <w:r w:rsidRPr="00F603D9">
        <w:rPr>
          <w:rFonts w:ascii="Tahoma" w:hAnsi="Tahoma" w:cs="Tahoma"/>
        </w:rPr>
        <w:t>de</w:t>
      </w:r>
      <w:r w:rsidR="006D2B08" w:rsidRPr="00F603D9">
        <w:rPr>
          <w:rFonts w:ascii="Tahoma" w:hAnsi="Tahoma" w:cs="Tahoma"/>
        </w:rPr>
        <w:t>l</w:t>
      </w:r>
      <w:r w:rsidRPr="00F603D9">
        <w:rPr>
          <w:rFonts w:ascii="Tahoma" w:hAnsi="Tahoma" w:cs="Tahoma"/>
        </w:rPr>
        <w:t xml:space="preserve"> </w:t>
      </w:r>
      <w:r w:rsidR="006D2B08" w:rsidRPr="00F603D9">
        <w:rPr>
          <w:rFonts w:ascii="Tahoma" w:hAnsi="Tahoma" w:cs="Tahoma"/>
        </w:rPr>
        <w:t xml:space="preserve">2 </w:t>
      </w:r>
      <w:r w:rsidRPr="00F603D9">
        <w:rPr>
          <w:rFonts w:ascii="Tahoma" w:hAnsi="Tahoma" w:cs="Tahoma"/>
        </w:rPr>
        <w:t xml:space="preserve">de </w:t>
      </w:r>
      <w:r w:rsidR="006D2B08" w:rsidRPr="00F603D9">
        <w:rPr>
          <w:rFonts w:ascii="Tahoma" w:hAnsi="Tahoma" w:cs="Tahoma"/>
        </w:rPr>
        <w:t xml:space="preserve">Enero </w:t>
      </w:r>
      <w:r w:rsidRPr="00F603D9">
        <w:rPr>
          <w:rFonts w:ascii="Tahoma" w:hAnsi="Tahoma" w:cs="Tahoma"/>
        </w:rPr>
        <w:t>201</w:t>
      </w:r>
      <w:r w:rsidR="006D2B08" w:rsidRPr="00F603D9">
        <w:rPr>
          <w:rFonts w:ascii="Tahoma" w:hAnsi="Tahoma" w:cs="Tahoma"/>
        </w:rPr>
        <w:t>5</w:t>
      </w:r>
      <w:r w:rsidRPr="00A6547B">
        <w:rPr>
          <w:rFonts w:ascii="Tahoma" w:hAnsi="Tahoma" w:cs="Tahoma"/>
        </w:rPr>
        <w:t>, en la suma de</w:t>
      </w:r>
      <w:r w:rsidRPr="00A6547B">
        <w:rPr>
          <w:rFonts w:ascii="Tahoma" w:hAnsi="Tahoma" w:cs="Tahoma"/>
          <w:b/>
        </w:rPr>
        <w:t xml:space="preserve">  </w:t>
      </w:r>
      <w:r w:rsidR="00DC1807">
        <w:rPr>
          <w:rFonts w:ascii="Tahoma" w:hAnsi="Tahoma" w:cs="Tahoma"/>
          <w:b/>
        </w:rPr>
        <w:t>CINCO MIL QUINIENTOS NOVENTA MILLONES SETECIENTOS TRES MIL CIENTO CUARENTA Y CINCO PESOS M/CTE ($5.590.703.145.oo).</w:t>
      </w:r>
    </w:p>
    <w:p w:rsidR="00DC1807" w:rsidRDefault="00DC1807" w:rsidP="00BB691C">
      <w:pPr>
        <w:tabs>
          <w:tab w:val="left" w:pos="2835"/>
        </w:tabs>
        <w:spacing w:after="0" w:line="19" w:lineRule="atLeast"/>
        <w:jc w:val="both"/>
        <w:rPr>
          <w:rFonts w:ascii="Tahoma" w:hAnsi="Tahoma" w:cs="Tahoma"/>
          <w:b/>
        </w:rPr>
      </w:pPr>
    </w:p>
    <w:p w:rsidR="00BB691C" w:rsidRDefault="00BB691C" w:rsidP="00BB691C">
      <w:pPr>
        <w:spacing w:after="0" w:line="228" w:lineRule="auto"/>
        <w:jc w:val="center"/>
        <w:rPr>
          <w:rFonts w:ascii="Tahoma" w:hAnsi="Tahoma" w:cs="Tahoma"/>
          <w:b/>
        </w:rPr>
      </w:pPr>
    </w:p>
    <w:p w:rsidR="00BB691C" w:rsidRDefault="00BB691C" w:rsidP="00BB691C">
      <w:pPr>
        <w:spacing w:after="0" w:line="228" w:lineRule="auto"/>
        <w:jc w:val="center"/>
        <w:rPr>
          <w:rFonts w:ascii="Tahoma" w:hAnsi="Tahoma" w:cs="Tahoma"/>
          <w:b/>
        </w:rPr>
      </w:pPr>
      <w:r w:rsidRPr="00231ECA">
        <w:rPr>
          <w:rFonts w:ascii="Tahoma" w:hAnsi="Tahoma" w:cs="Tahoma"/>
          <w:b/>
        </w:rPr>
        <w:t>CAPITULO 2</w:t>
      </w:r>
    </w:p>
    <w:p w:rsidR="003D6523" w:rsidRPr="00231ECA" w:rsidRDefault="003D6523" w:rsidP="00BB691C">
      <w:pPr>
        <w:spacing w:after="0" w:line="228" w:lineRule="auto"/>
        <w:jc w:val="center"/>
        <w:rPr>
          <w:rFonts w:ascii="Tahoma" w:hAnsi="Tahoma" w:cs="Tahoma"/>
          <w:b/>
        </w:rPr>
      </w:pPr>
    </w:p>
    <w:p w:rsidR="00BB691C" w:rsidRPr="00231ECA" w:rsidRDefault="00BB691C" w:rsidP="00BB691C">
      <w:pPr>
        <w:spacing w:after="0" w:line="228" w:lineRule="auto"/>
        <w:jc w:val="center"/>
        <w:rPr>
          <w:rFonts w:ascii="Tahoma" w:hAnsi="Tahoma" w:cs="Tahoma"/>
          <w:b/>
        </w:rPr>
      </w:pPr>
    </w:p>
    <w:p w:rsidR="00BB691C" w:rsidRPr="00231ECA" w:rsidRDefault="00BB691C" w:rsidP="00BB691C">
      <w:pPr>
        <w:pStyle w:val="Prrafodelista"/>
        <w:numPr>
          <w:ilvl w:val="0"/>
          <w:numId w:val="4"/>
        </w:numPr>
        <w:spacing w:after="0" w:line="228" w:lineRule="auto"/>
        <w:rPr>
          <w:rFonts w:ascii="Tahoma" w:hAnsi="Tahoma" w:cs="Tahoma"/>
          <w:b/>
        </w:rPr>
      </w:pPr>
      <w:r w:rsidRPr="00231ECA">
        <w:rPr>
          <w:rFonts w:ascii="Tahoma" w:hAnsi="Tahoma" w:cs="Tahoma"/>
          <w:b/>
        </w:rPr>
        <w:t>EJECUCION DEL PRESUPUESTO</w:t>
      </w:r>
    </w:p>
    <w:p w:rsidR="00BB691C" w:rsidRPr="00231ECA" w:rsidRDefault="00BB691C" w:rsidP="00BB691C">
      <w:pPr>
        <w:spacing w:after="0" w:line="228" w:lineRule="auto"/>
        <w:rPr>
          <w:rFonts w:ascii="Tahoma" w:hAnsi="Tahoma" w:cs="Tahoma"/>
          <w:b/>
        </w:rPr>
      </w:pPr>
    </w:p>
    <w:p w:rsidR="00BB691C" w:rsidRDefault="00BB691C" w:rsidP="00BB691C">
      <w:pPr>
        <w:autoSpaceDE w:val="0"/>
        <w:autoSpaceDN w:val="0"/>
        <w:adjustRightInd w:val="0"/>
        <w:spacing w:after="0"/>
        <w:jc w:val="both"/>
        <w:rPr>
          <w:rFonts w:ascii="Tahoma" w:hAnsi="Tahoma" w:cs="Tahoma"/>
        </w:rPr>
      </w:pPr>
      <w:r w:rsidRPr="00231ECA">
        <w:rPr>
          <w:rFonts w:ascii="Tahoma" w:hAnsi="Tahoma" w:cs="Tahoma"/>
        </w:rPr>
        <w:t>El presupuesto Municipal, es por excelencia una de las principales herramientas de planeación y en él se deben Proyectar los ingresos y rentas a percibir durante la vigencia fiscal y autorizar los respectivos gastos e inversiones; Atender criterios de prioridad, de los programas y proyectos contenidos en el Plan de Desarrollo, y Alcanzar objetivos financieros, que no son otra cosa que adecuar el comportamiento real de los ingresos a las proyecciones contenidas en el Plan de Desarrollo.</w:t>
      </w:r>
    </w:p>
    <w:p w:rsidR="003D6523" w:rsidRPr="00231ECA" w:rsidRDefault="003D6523" w:rsidP="00BB691C">
      <w:pPr>
        <w:autoSpaceDE w:val="0"/>
        <w:autoSpaceDN w:val="0"/>
        <w:adjustRightInd w:val="0"/>
        <w:spacing w:after="0"/>
        <w:jc w:val="both"/>
        <w:rPr>
          <w:rFonts w:ascii="Tahoma" w:hAnsi="Tahoma" w:cs="Tahoma"/>
          <w:b/>
        </w:rPr>
      </w:pPr>
    </w:p>
    <w:p w:rsidR="00BB691C" w:rsidRDefault="00BB691C" w:rsidP="00BB691C">
      <w:pPr>
        <w:tabs>
          <w:tab w:val="left" w:pos="7907"/>
        </w:tabs>
        <w:spacing w:after="0" w:line="228" w:lineRule="auto"/>
        <w:jc w:val="both"/>
        <w:rPr>
          <w:rFonts w:ascii="Tahoma" w:hAnsi="Tahoma" w:cs="Tahoma"/>
          <w:b/>
        </w:rPr>
      </w:pPr>
    </w:p>
    <w:p w:rsidR="00BB691C" w:rsidRPr="00D34A5F" w:rsidRDefault="00BB691C" w:rsidP="00D34A5F">
      <w:pPr>
        <w:pStyle w:val="Prrafodelista"/>
        <w:numPr>
          <w:ilvl w:val="1"/>
          <w:numId w:val="4"/>
        </w:numPr>
        <w:spacing w:after="0" w:line="19" w:lineRule="atLeast"/>
        <w:rPr>
          <w:rFonts w:ascii="Tahoma" w:hAnsi="Tahoma" w:cs="Tahoma"/>
          <w:b/>
        </w:rPr>
      </w:pPr>
      <w:r w:rsidRPr="00D34A5F">
        <w:rPr>
          <w:rFonts w:ascii="Tahoma" w:hAnsi="Tahoma" w:cs="Tahoma"/>
          <w:b/>
        </w:rPr>
        <w:t>ANALISIS A LA EJECUCION  PRESUPUESTAL DE  INGRESOS</w:t>
      </w:r>
    </w:p>
    <w:p w:rsidR="00BB691C" w:rsidRDefault="00BB691C" w:rsidP="00BB691C">
      <w:pPr>
        <w:spacing w:after="0" w:line="19" w:lineRule="atLeast"/>
        <w:rPr>
          <w:rFonts w:ascii="Tahoma" w:hAnsi="Tahoma" w:cs="Tahoma"/>
          <w:b/>
        </w:rPr>
      </w:pPr>
    </w:p>
    <w:p w:rsidR="00DC1807" w:rsidRPr="00B11C0F" w:rsidRDefault="00BB691C" w:rsidP="00711052">
      <w:pPr>
        <w:jc w:val="both"/>
        <w:rPr>
          <w:rFonts w:ascii="Tahoma" w:hAnsi="Tahoma" w:cs="Tahoma"/>
        </w:rPr>
      </w:pPr>
      <w:r w:rsidRPr="005540CE">
        <w:rPr>
          <w:rFonts w:ascii="Tahoma" w:hAnsi="Tahoma" w:cs="Tahoma"/>
        </w:rPr>
        <w:t xml:space="preserve">El presupuesto </w:t>
      </w:r>
      <w:r>
        <w:rPr>
          <w:rFonts w:ascii="Tahoma" w:hAnsi="Tahoma" w:cs="Tahoma"/>
        </w:rPr>
        <w:t xml:space="preserve">de Ingresos del Municipio de </w:t>
      </w:r>
      <w:r w:rsidR="005A555A">
        <w:rPr>
          <w:rFonts w:ascii="Tahoma" w:hAnsi="Tahoma" w:cs="Tahoma"/>
        </w:rPr>
        <w:t>Herveo</w:t>
      </w:r>
      <w:r w:rsidR="00AD779D">
        <w:rPr>
          <w:rFonts w:ascii="Tahoma" w:hAnsi="Tahoma" w:cs="Tahoma"/>
        </w:rPr>
        <w:t xml:space="preserve"> </w:t>
      </w:r>
      <w:r>
        <w:rPr>
          <w:rFonts w:ascii="Tahoma" w:hAnsi="Tahoma" w:cs="Tahoma"/>
        </w:rPr>
        <w:t xml:space="preserve">para la vigencia fiscal 2015 fue aprobado en la cuantía de </w:t>
      </w:r>
      <w:r w:rsidRPr="00174ED6">
        <w:rPr>
          <w:rFonts w:ascii="Tahoma" w:hAnsi="Tahoma" w:cs="Tahoma"/>
          <w:b/>
        </w:rPr>
        <w:t>$</w:t>
      </w:r>
      <w:r w:rsidR="00DC1807">
        <w:rPr>
          <w:rFonts w:ascii="Tahoma" w:hAnsi="Tahoma" w:cs="Tahoma"/>
          <w:b/>
        </w:rPr>
        <w:t>5.590.703.145</w:t>
      </w:r>
      <w:r>
        <w:rPr>
          <w:rFonts w:ascii="Tahoma" w:hAnsi="Tahoma" w:cs="Tahoma"/>
          <w:b/>
        </w:rPr>
        <w:t xml:space="preserve">.oo, </w:t>
      </w:r>
      <w:r w:rsidR="00B11C0F" w:rsidRPr="00B11C0F">
        <w:rPr>
          <w:rFonts w:ascii="Tahoma" w:hAnsi="Tahoma" w:cs="Tahoma"/>
        </w:rPr>
        <w:t xml:space="preserve">en las ejecuciones presupuestales </w:t>
      </w:r>
      <w:r w:rsidR="00DC1807" w:rsidRPr="00B11C0F">
        <w:rPr>
          <w:rFonts w:ascii="Tahoma" w:hAnsi="Tahoma" w:cs="Tahoma"/>
        </w:rPr>
        <w:t>se observa una apropiación Inicial de $5.617.203.145.oo</w:t>
      </w:r>
      <w:r w:rsidR="00B11C0F" w:rsidRPr="00B11C0F">
        <w:rPr>
          <w:rFonts w:ascii="Tahoma" w:hAnsi="Tahoma" w:cs="Tahoma"/>
        </w:rPr>
        <w:t>, incluida el Sistema General de Regalías.</w:t>
      </w:r>
    </w:p>
    <w:p w:rsidR="00BB691C" w:rsidRDefault="00DC1807" w:rsidP="00711052">
      <w:pPr>
        <w:jc w:val="both"/>
        <w:rPr>
          <w:rFonts w:ascii="Tahoma" w:eastAsia="Times New Roman" w:hAnsi="Tahoma" w:cs="Tahoma"/>
          <w:b/>
          <w:bCs/>
        </w:rPr>
      </w:pPr>
      <w:r>
        <w:rPr>
          <w:rFonts w:ascii="Tahoma" w:hAnsi="Tahoma" w:cs="Tahoma"/>
        </w:rPr>
        <w:lastRenderedPageBreak/>
        <w:t xml:space="preserve">Presupuesto Inicial </w:t>
      </w:r>
      <w:r w:rsidRPr="000D4145">
        <w:rPr>
          <w:rFonts w:ascii="Tahoma" w:hAnsi="Tahoma" w:cs="Tahoma"/>
          <w:b/>
        </w:rPr>
        <w:t>$5.617.203.145.</w:t>
      </w:r>
      <w:r>
        <w:rPr>
          <w:rFonts w:ascii="Tahoma" w:hAnsi="Tahoma" w:cs="Tahoma"/>
          <w:b/>
        </w:rPr>
        <w:t>oo,</w:t>
      </w:r>
      <w:r w:rsidRPr="00DA6502">
        <w:rPr>
          <w:rFonts w:ascii="Tahoma" w:hAnsi="Tahoma" w:cs="Tahoma"/>
        </w:rPr>
        <w:t xml:space="preserve"> </w:t>
      </w:r>
      <w:r w:rsidR="00BB691C" w:rsidRPr="00DA6502">
        <w:rPr>
          <w:rFonts w:ascii="Tahoma" w:hAnsi="Tahoma" w:cs="Tahoma"/>
        </w:rPr>
        <w:t>presentó adiciones</w:t>
      </w:r>
      <w:r w:rsidR="00BB691C">
        <w:rPr>
          <w:rFonts w:ascii="Tahoma" w:hAnsi="Tahoma" w:cs="Tahoma"/>
        </w:rPr>
        <w:t xml:space="preserve"> presupuestales por</w:t>
      </w:r>
      <w:r w:rsidR="00BB691C" w:rsidRPr="00DA6502">
        <w:rPr>
          <w:rFonts w:ascii="Tahoma" w:hAnsi="Tahoma" w:cs="Tahoma"/>
        </w:rPr>
        <w:t xml:space="preserve"> </w:t>
      </w:r>
      <w:r w:rsidR="00BB691C" w:rsidRPr="00231ECA">
        <w:rPr>
          <w:rFonts w:ascii="Tahoma" w:hAnsi="Tahoma" w:cs="Tahoma"/>
          <w:b/>
        </w:rPr>
        <w:t>$</w:t>
      </w:r>
      <w:r w:rsidR="000D4145" w:rsidRPr="000D4145">
        <w:rPr>
          <w:rFonts w:ascii="Tahoma" w:hAnsi="Tahoma" w:cs="Tahoma"/>
          <w:b/>
        </w:rPr>
        <w:t>6.287.340.532</w:t>
      </w:r>
      <w:r w:rsidR="00BB691C">
        <w:rPr>
          <w:rFonts w:ascii="Tahoma" w:hAnsi="Tahoma" w:cs="Tahoma"/>
          <w:b/>
        </w:rPr>
        <w:t>.oo</w:t>
      </w:r>
      <w:r w:rsidR="00BB691C" w:rsidRPr="00CA669B">
        <w:rPr>
          <w:rFonts w:ascii="Tahoma" w:hAnsi="Tahoma" w:cs="Tahoma"/>
          <w:b/>
        </w:rPr>
        <w:t>,</w:t>
      </w:r>
      <w:r w:rsidR="00BB691C">
        <w:rPr>
          <w:rFonts w:ascii="Tahoma" w:hAnsi="Tahoma" w:cs="Tahoma"/>
          <w:b/>
        </w:rPr>
        <w:t xml:space="preserve"> </w:t>
      </w:r>
      <w:r w:rsidR="00BB691C">
        <w:rPr>
          <w:rFonts w:ascii="Tahoma" w:eastAsia="Times New Roman" w:hAnsi="Tahoma" w:cs="Tahoma"/>
          <w:bCs/>
        </w:rPr>
        <w:t xml:space="preserve">y reducciones por </w:t>
      </w:r>
      <w:r w:rsidR="00BB691C" w:rsidRPr="00B26183">
        <w:rPr>
          <w:rFonts w:ascii="Tahoma" w:eastAsia="Times New Roman" w:hAnsi="Tahoma" w:cs="Tahoma"/>
          <w:b/>
          <w:bCs/>
        </w:rPr>
        <w:t>$</w:t>
      </w:r>
      <w:r w:rsidR="000D4145" w:rsidRPr="000D4145">
        <w:t xml:space="preserve"> </w:t>
      </w:r>
      <w:r w:rsidR="000D4145" w:rsidRPr="000D4145">
        <w:rPr>
          <w:rFonts w:ascii="Tahoma" w:eastAsia="Times New Roman" w:hAnsi="Tahoma" w:cs="Tahoma"/>
          <w:b/>
          <w:bCs/>
        </w:rPr>
        <w:t>339.287.485</w:t>
      </w:r>
      <w:r w:rsidR="00BB691C" w:rsidRPr="00B26183">
        <w:rPr>
          <w:rFonts w:ascii="Tahoma" w:eastAsia="Times New Roman" w:hAnsi="Tahoma" w:cs="Tahoma"/>
          <w:b/>
          <w:bCs/>
        </w:rPr>
        <w:t>.oo</w:t>
      </w:r>
      <w:r w:rsidR="00BB691C">
        <w:rPr>
          <w:rFonts w:ascii="Tahoma" w:eastAsia="Times New Roman" w:hAnsi="Tahoma" w:cs="Tahoma"/>
          <w:bCs/>
        </w:rPr>
        <w:t xml:space="preserve">, para un presupuesto definitivo a Diciembre 31 de 2015 de </w:t>
      </w:r>
      <w:r w:rsidR="00BB691C" w:rsidRPr="00B26183">
        <w:rPr>
          <w:rFonts w:ascii="Tahoma" w:eastAsia="Times New Roman" w:hAnsi="Tahoma" w:cs="Tahoma"/>
          <w:b/>
          <w:bCs/>
        </w:rPr>
        <w:t>$</w:t>
      </w:r>
      <w:r w:rsidR="000D4145" w:rsidRPr="000D4145">
        <w:t xml:space="preserve"> </w:t>
      </w:r>
      <w:r w:rsidR="000D4145" w:rsidRPr="000D4145">
        <w:rPr>
          <w:rFonts w:ascii="Tahoma" w:eastAsia="Times New Roman" w:hAnsi="Tahoma" w:cs="Tahoma"/>
          <w:b/>
          <w:bCs/>
        </w:rPr>
        <w:t>11.565.256.192</w:t>
      </w:r>
      <w:r w:rsidR="00BB691C">
        <w:rPr>
          <w:rFonts w:ascii="Tahoma" w:eastAsia="Times New Roman" w:hAnsi="Tahoma" w:cs="Tahoma"/>
          <w:b/>
          <w:bCs/>
        </w:rPr>
        <w:t>.oo.</w:t>
      </w:r>
    </w:p>
    <w:p w:rsidR="00BB691C" w:rsidRPr="00D34A5F" w:rsidRDefault="00BB691C" w:rsidP="00BB691C">
      <w:pPr>
        <w:tabs>
          <w:tab w:val="left" w:pos="2835"/>
        </w:tabs>
        <w:spacing w:after="0" w:line="19" w:lineRule="atLeast"/>
        <w:jc w:val="both"/>
        <w:rPr>
          <w:rFonts w:ascii="Tahoma" w:eastAsia="Times New Roman" w:hAnsi="Tahoma" w:cs="Tahoma"/>
          <w:b/>
          <w:bCs/>
        </w:rPr>
      </w:pPr>
    </w:p>
    <w:tbl>
      <w:tblPr>
        <w:tblStyle w:val="Sombreadoclaro-nfasis1"/>
        <w:tblW w:w="9207" w:type="dxa"/>
        <w:tblLayout w:type="fixed"/>
        <w:tblLook w:val="04A0" w:firstRow="1" w:lastRow="0" w:firstColumn="1" w:lastColumn="0" w:noHBand="0" w:noVBand="1"/>
      </w:tblPr>
      <w:tblGrid>
        <w:gridCol w:w="2415"/>
        <w:gridCol w:w="2162"/>
        <w:gridCol w:w="2017"/>
        <w:gridCol w:w="2613"/>
      </w:tblGrid>
      <w:tr w:rsidR="00D34A5F" w:rsidRPr="00D34A5F" w:rsidTr="00D34A5F">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415" w:type="dxa"/>
          </w:tcPr>
          <w:p w:rsidR="00BB691C" w:rsidRPr="00D34A5F" w:rsidRDefault="00BB691C" w:rsidP="008E2B71">
            <w:pPr>
              <w:tabs>
                <w:tab w:val="left" w:pos="2835"/>
              </w:tabs>
              <w:spacing w:line="19" w:lineRule="atLeast"/>
              <w:jc w:val="center"/>
              <w:rPr>
                <w:rFonts w:ascii="Tahoma" w:eastAsia="Times New Roman" w:hAnsi="Tahoma" w:cs="Tahoma"/>
                <w:color w:val="auto"/>
              </w:rPr>
            </w:pPr>
            <w:r w:rsidRPr="00D34A5F">
              <w:rPr>
                <w:rFonts w:ascii="Tahoma" w:eastAsia="Times New Roman" w:hAnsi="Tahoma" w:cs="Tahoma"/>
                <w:color w:val="auto"/>
              </w:rPr>
              <w:t>PRESUPUESTO INICIAL</w:t>
            </w:r>
          </w:p>
          <w:p w:rsidR="00D34A5F" w:rsidRPr="00D34A5F" w:rsidRDefault="00D34A5F" w:rsidP="008E2B71">
            <w:pPr>
              <w:tabs>
                <w:tab w:val="left" w:pos="2835"/>
              </w:tabs>
              <w:spacing w:line="19" w:lineRule="atLeast"/>
              <w:jc w:val="center"/>
              <w:rPr>
                <w:rFonts w:ascii="Tahoma" w:eastAsia="Times New Roman" w:hAnsi="Tahoma" w:cs="Tahoma"/>
                <w:bCs w:val="0"/>
                <w:color w:val="auto"/>
              </w:rPr>
            </w:pPr>
          </w:p>
        </w:tc>
        <w:tc>
          <w:tcPr>
            <w:tcW w:w="2162" w:type="dxa"/>
          </w:tcPr>
          <w:p w:rsidR="00BB691C" w:rsidRPr="00D34A5F" w:rsidRDefault="00BB691C" w:rsidP="008E2B71">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rPr>
            </w:pPr>
            <w:r w:rsidRPr="00D34A5F">
              <w:rPr>
                <w:rFonts w:ascii="Tahoma" w:eastAsia="Times New Roman" w:hAnsi="Tahoma" w:cs="Tahoma"/>
                <w:color w:val="auto"/>
              </w:rPr>
              <w:t>ADICIONES</w:t>
            </w:r>
          </w:p>
        </w:tc>
        <w:tc>
          <w:tcPr>
            <w:tcW w:w="2017" w:type="dxa"/>
          </w:tcPr>
          <w:p w:rsidR="00BB691C" w:rsidRPr="00D34A5F" w:rsidRDefault="00BB691C" w:rsidP="008E2B71">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rPr>
            </w:pPr>
            <w:r w:rsidRPr="00D34A5F">
              <w:rPr>
                <w:rFonts w:ascii="Tahoma" w:eastAsia="Times New Roman" w:hAnsi="Tahoma" w:cs="Tahoma"/>
                <w:color w:val="auto"/>
              </w:rPr>
              <w:t>REDUCCIONES</w:t>
            </w:r>
          </w:p>
        </w:tc>
        <w:tc>
          <w:tcPr>
            <w:tcW w:w="2613" w:type="dxa"/>
          </w:tcPr>
          <w:p w:rsidR="00BB691C" w:rsidRPr="00D34A5F" w:rsidRDefault="00BB691C" w:rsidP="008E2B71">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rPr>
            </w:pPr>
            <w:r w:rsidRPr="00D34A5F">
              <w:rPr>
                <w:rFonts w:ascii="Tahoma" w:eastAsia="Times New Roman" w:hAnsi="Tahoma" w:cs="Tahoma"/>
                <w:color w:val="auto"/>
              </w:rPr>
              <w:t>PRESUPUESTO DEFINITIVO</w:t>
            </w:r>
          </w:p>
        </w:tc>
      </w:tr>
      <w:tr w:rsidR="00D34A5F" w:rsidRPr="00D34A5F" w:rsidTr="00D34A5F">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2415" w:type="dxa"/>
          </w:tcPr>
          <w:p w:rsidR="00BB691C" w:rsidRPr="00D34A5F" w:rsidRDefault="00BB691C" w:rsidP="00711052">
            <w:pPr>
              <w:tabs>
                <w:tab w:val="left" w:pos="2835"/>
              </w:tabs>
              <w:spacing w:line="19" w:lineRule="atLeast"/>
              <w:jc w:val="center"/>
              <w:rPr>
                <w:rFonts w:ascii="Tahoma" w:eastAsia="Times New Roman" w:hAnsi="Tahoma" w:cs="Tahoma"/>
                <w:bCs w:val="0"/>
                <w:color w:val="auto"/>
                <w:sz w:val="20"/>
                <w:szCs w:val="20"/>
                <w:vertAlign w:val="subscript"/>
              </w:rPr>
            </w:pPr>
            <w:r w:rsidRPr="00D34A5F">
              <w:rPr>
                <w:rFonts w:ascii="Tahoma" w:hAnsi="Tahoma" w:cs="Tahoma"/>
                <w:color w:val="auto"/>
                <w:sz w:val="20"/>
                <w:szCs w:val="20"/>
              </w:rPr>
              <w:t>$</w:t>
            </w:r>
            <w:r w:rsidR="000D4145" w:rsidRPr="000D4145">
              <w:rPr>
                <w:rFonts w:ascii="Tahoma" w:hAnsi="Tahoma" w:cs="Tahoma"/>
                <w:color w:val="auto"/>
                <w:sz w:val="20"/>
                <w:szCs w:val="20"/>
              </w:rPr>
              <w:t>5.617.203.145</w:t>
            </w:r>
            <w:r w:rsidRPr="00D34A5F">
              <w:rPr>
                <w:rFonts w:ascii="Tahoma" w:hAnsi="Tahoma" w:cs="Tahoma"/>
                <w:color w:val="auto"/>
                <w:sz w:val="20"/>
                <w:szCs w:val="20"/>
              </w:rPr>
              <w:t>.oo,</w:t>
            </w:r>
          </w:p>
        </w:tc>
        <w:tc>
          <w:tcPr>
            <w:tcW w:w="2162" w:type="dxa"/>
          </w:tcPr>
          <w:p w:rsidR="00BB691C" w:rsidRPr="00D34A5F" w:rsidRDefault="00BB691C" w:rsidP="000D4145">
            <w:pPr>
              <w:tabs>
                <w:tab w:val="left" w:pos="2835"/>
              </w:tabs>
              <w:spacing w:line="19" w:lineRule="atLeast"/>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
                <w:bCs/>
                <w:color w:val="auto"/>
                <w:sz w:val="20"/>
                <w:szCs w:val="20"/>
                <w:vertAlign w:val="subscript"/>
              </w:rPr>
            </w:pPr>
            <w:r w:rsidRPr="00D34A5F">
              <w:rPr>
                <w:rFonts w:ascii="Tahoma" w:hAnsi="Tahoma" w:cs="Tahoma"/>
                <w:b/>
                <w:color w:val="auto"/>
                <w:sz w:val="20"/>
                <w:szCs w:val="20"/>
              </w:rPr>
              <w:t>$</w:t>
            </w:r>
            <w:r w:rsidR="000D4145" w:rsidRPr="000D4145">
              <w:rPr>
                <w:rFonts w:ascii="Tahoma" w:hAnsi="Tahoma" w:cs="Tahoma"/>
                <w:b/>
                <w:color w:val="auto"/>
                <w:sz w:val="20"/>
                <w:szCs w:val="20"/>
              </w:rPr>
              <w:t>6.287.340.532</w:t>
            </w:r>
            <w:r w:rsidRPr="00D34A5F">
              <w:rPr>
                <w:rFonts w:ascii="Tahoma" w:hAnsi="Tahoma" w:cs="Tahoma"/>
                <w:b/>
                <w:color w:val="auto"/>
                <w:sz w:val="20"/>
                <w:szCs w:val="20"/>
              </w:rPr>
              <w:t>.oo</w:t>
            </w:r>
          </w:p>
        </w:tc>
        <w:tc>
          <w:tcPr>
            <w:tcW w:w="2017" w:type="dxa"/>
          </w:tcPr>
          <w:p w:rsidR="00BB691C" w:rsidRPr="00D34A5F" w:rsidRDefault="00BB691C" w:rsidP="000D4145">
            <w:pPr>
              <w:tabs>
                <w:tab w:val="left" w:pos="2835"/>
              </w:tabs>
              <w:spacing w:line="19" w:lineRule="atLeast"/>
              <w:jc w:val="cente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
                <w:bCs/>
                <w:color w:val="auto"/>
                <w:sz w:val="20"/>
                <w:szCs w:val="20"/>
                <w:vertAlign w:val="subscript"/>
              </w:rPr>
            </w:pPr>
            <w:r w:rsidRPr="00D34A5F">
              <w:rPr>
                <w:rFonts w:ascii="Tahoma" w:eastAsia="Times New Roman" w:hAnsi="Tahoma" w:cs="Tahoma"/>
                <w:b/>
                <w:bCs/>
                <w:color w:val="auto"/>
                <w:sz w:val="20"/>
                <w:szCs w:val="20"/>
              </w:rPr>
              <w:t>$</w:t>
            </w:r>
            <w:r w:rsidR="000D4145" w:rsidRPr="000D4145">
              <w:rPr>
                <w:rFonts w:ascii="Tahoma" w:eastAsia="Times New Roman" w:hAnsi="Tahoma" w:cs="Tahoma"/>
                <w:b/>
                <w:bCs/>
                <w:color w:val="auto"/>
                <w:sz w:val="20"/>
                <w:szCs w:val="20"/>
              </w:rPr>
              <w:t>339.287.485</w:t>
            </w:r>
            <w:r w:rsidRPr="00D34A5F">
              <w:rPr>
                <w:rFonts w:ascii="Tahoma" w:eastAsia="Times New Roman" w:hAnsi="Tahoma" w:cs="Tahoma"/>
                <w:b/>
                <w:bCs/>
                <w:color w:val="auto"/>
                <w:sz w:val="20"/>
                <w:szCs w:val="20"/>
              </w:rPr>
              <w:t>.oo</w:t>
            </w:r>
          </w:p>
        </w:tc>
        <w:tc>
          <w:tcPr>
            <w:tcW w:w="2613" w:type="dxa"/>
          </w:tcPr>
          <w:p w:rsidR="00BB691C" w:rsidRPr="00D34A5F" w:rsidRDefault="00BB691C" w:rsidP="000D4145">
            <w:pPr>
              <w:tabs>
                <w:tab w:val="left" w:pos="2835"/>
              </w:tabs>
              <w:spacing w:line="19" w:lineRule="atLeast"/>
              <w:jc w:val="cente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
                <w:bCs/>
                <w:color w:val="auto"/>
                <w:sz w:val="20"/>
                <w:szCs w:val="20"/>
                <w:vertAlign w:val="subscript"/>
              </w:rPr>
            </w:pPr>
            <w:r w:rsidRPr="00D34A5F">
              <w:rPr>
                <w:rFonts w:ascii="Tahoma" w:eastAsia="Times New Roman" w:hAnsi="Tahoma" w:cs="Tahoma"/>
                <w:b/>
                <w:bCs/>
                <w:color w:val="auto"/>
                <w:sz w:val="20"/>
                <w:szCs w:val="20"/>
              </w:rPr>
              <w:t>$</w:t>
            </w:r>
            <w:r w:rsidR="000D4145" w:rsidRPr="000D4145">
              <w:rPr>
                <w:rFonts w:ascii="Tahoma" w:eastAsia="Times New Roman" w:hAnsi="Tahoma" w:cs="Tahoma"/>
                <w:b/>
                <w:bCs/>
                <w:color w:val="auto"/>
                <w:sz w:val="20"/>
                <w:szCs w:val="20"/>
              </w:rPr>
              <w:t>11.565.256.192</w:t>
            </w:r>
            <w:r w:rsidR="000D4145">
              <w:rPr>
                <w:rFonts w:ascii="Tahoma" w:eastAsia="Times New Roman" w:hAnsi="Tahoma" w:cs="Tahoma"/>
                <w:b/>
                <w:bCs/>
                <w:color w:val="auto"/>
                <w:sz w:val="20"/>
                <w:szCs w:val="20"/>
              </w:rPr>
              <w:t>.</w:t>
            </w:r>
            <w:r w:rsidRPr="00D34A5F">
              <w:rPr>
                <w:rFonts w:ascii="Tahoma" w:eastAsia="Times New Roman" w:hAnsi="Tahoma" w:cs="Tahoma"/>
                <w:b/>
                <w:bCs/>
                <w:color w:val="auto"/>
                <w:sz w:val="20"/>
                <w:szCs w:val="20"/>
              </w:rPr>
              <w:t>oo</w:t>
            </w:r>
          </w:p>
        </w:tc>
      </w:tr>
    </w:tbl>
    <w:p w:rsidR="00BB691C" w:rsidRPr="00256F6A" w:rsidRDefault="00BB691C" w:rsidP="00BB691C">
      <w:pPr>
        <w:tabs>
          <w:tab w:val="left" w:pos="2835"/>
        </w:tabs>
        <w:spacing w:after="0" w:line="19" w:lineRule="atLeast"/>
        <w:jc w:val="both"/>
        <w:rPr>
          <w:rFonts w:ascii="Tahoma" w:eastAsia="Times New Roman" w:hAnsi="Tahoma" w:cs="Tahoma"/>
          <w:bCs/>
          <w:vertAlign w:val="subscript"/>
        </w:rPr>
      </w:pPr>
      <w:r w:rsidRPr="00256F6A">
        <w:rPr>
          <w:rFonts w:ascii="Tahoma" w:eastAsia="Times New Roman" w:hAnsi="Tahoma" w:cs="Tahoma"/>
          <w:bCs/>
          <w:vertAlign w:val="subscript"/>
        </w:rPr>
        <w:t>Información tomada de la ejecución presupuestal del Municipio</w:t>
      </w:r>
      <w:r>
        <w:rPr>
          <w:rFonts w:ascii="Tahoma" w:eastAsia="Times New Roman" w:hAnsi="Tahoma" w:cs="Tahoma"/>
          <w:bCs/>
          <w:vertAlign w:val="subscript"/>
        </w:rPr>
        <w:t xml:space="preserve"> vigencia 2015</w:t>
      </w:r>
    </w:p>
    <w:p w:rsidR="00BB691C" w:rsidRDefault="00BB691C" w:rsidP="00BB691C">
      <w:pPr>
        <w:tabs>
          <w:tab w:val="left" w:pos="4760"/>
          <w:tab w:val="left" w:pos="6013"/>
          <w:tab w:val="left" w:pos="6693"/>
        </w:tabs>
        <w:spacing w:after="0" w:line="19" w:lineRule="atLeast"/>
        <w:jc w:val="both"/>
        <w:rPr>
          <w:rFonts w:ascii="Tahoma" w:eastAsia="Times New Roman" w:hAnsi="Tahoma" w:cs="Tahoma"/>
          <w:bCs/>
        </w:rPr>
      </w:pPr>
    </w:p>
    <w:p w:rsidR="00BB691C" w:rsidRDefault="00BB691C" w:rsidP="00BB691C">
      <w:pPr>
        <w:tabs>
          <w:tab w:val="left" w:pos="4760"/>
          <w:tab w:val="left" w:pos="6013"/>
          <w:tab w:val="left" w:pos="6693"/>
        </w:tabs>
        <w:spacing w:after="0" w:line="19" w:lineRule="atLeast"/>
        <w:jc w:val="both"/>
        <w:rPr>
          <w:rFonts w:ascii="Tahoma" w:eastAsia="Times New Roman" w:hAnsi="Tahoma" w:cs="Tahoma"/>
          <w:bCs/>
        </w:rPr>
      </w:pPr>
      <w:r>
        <w:rPr>
          <w:rFonts w:ascii="Tahoma" w:eastAsia="Times New Roman" w:hAnsi="Tahoma" w:cs="Tahoma"/>
          <w:bCs/>
        </w:rPr>
        <w:tab/>
      </w:r>
      <w:r>
        <w:rPr>
          <w:rFonts w:ascii="Tahoma" w:eastAsia="Times New Roman" w:hAnsi="Tahoma" w:cs="Tahoma"/>
          <w:bCs/>
        </w:rPr>
        <w:tab/>
      </w:r>
    </w:p>
    <w:p w:rsidR="00BB691C" w:rsidRPr="00D34A5F" w:rsidRDefault="00BB691C" w:rsidP="00BB691C">
      <w:pPr>
        <w:tabs>
          <w:tab w:val="left" w:pos="2835"/>
        </w:tabs>
        <w:spacing w:after="0" w:line="19" w:lineRule="atLeast"/>
        <w:jc w:val="center"/>
        <w:rPr>
          <w:rFonts w:ascii="Tahoma" w:eastAsia="Times New Roman" w:hAnsi="Tahoma" w:cs="Tahoma"/>
          <w:bCs/>
        </w:rPr>
      </w:pPr>
      <w:r w:rsidRPr="00D34A5F">
        <w:rPr>
          <w:rFonts w:ascii="Tahoma" w:eastAsia="Times New Roman" w:hAnsi="Tahoma" w:cs="Tahoma"/>
          <w:bCs/>
          <w:noProof/>
          <w:color w:val="9CC2E5" w:themeColor="accent1" w:themeTint="99"/>
          <w:lang w:val="es-CO" w:eastAsia="es-CO"/>
        </w:rPr>
        <w:drawing>
          <wp:inline distT="0" distB="0" distL="0" distR="0" wp14:anchorId="19492096" wp14:editId="2573E340">
            <wp:extent cx="5509260" cy="4419600"/>
            <wp:effectExtent l="0" t="0" r="15240" b="1905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691C" w:rsidRDefault="00BB691C" w:rsidP="00BB691C">
      <w:pPr>
        <w:jc w:val="both"/>
        <w:rPr>
          <w:rFonts w:ascii="Tahoma" w:eastAsia="Times New Roman" w:hAnsi="Tahoma" w:cs="Tahoma"/>
          <w:bCs/>
        </w:rPr>
      </w:pPr>
    </w:p>
    <w:p w:rsidR="00BB691C" w:rsidRDefault="00D34A5F" w:rsidP="00BB691C">
      <w:pPr>
        <w:rPr>
          <w:noProof/>
          <w:lang w:eastAsia="es-ES"/>
        </w:rPr>
      </w:pPr>
      <w:r>
        <w:rPr>
          <w:rFonts w:ascii="Tahoma" w:eastAsia="Times New Roman" w:hAnsi="Tahoma" w:cs="Tahoma"/>
          <w:b/>
        </w:rPr>
        <w:t>PRE</w:t>
      </w:r>
      <w:r w:rsidR="00BB691C" w:rsidRPr="00685EF4">
        <w:rPr>
          <w:rFonts w:ascii="Tahoma" w:eastAsia="Times New Roman" w:hAnsi="Tahoma" w:cs="Tahoma"/>
          <w:b/>
        </w:rPr>
        <w:t>SUPUESTO INICIAL DE INGRESOS</w:t>
      </w:r>
    </w:p>
    <w:p w:rsidR="009606C3" w:rsidRPr="009606C3" w:rsidRDefault="009A0F67" w:rsidP="009606C3">
      <w:pPr>
        <w:jc w:val="center"/>
        <w:rPr>
          <w:rFonts w:ascii="Tahoma" w:eastAsia="Times New Roman" w:hAnsi="Tahoma" w:cs="Tahoma"/>
          <w:b/>
        </w:rPr>
      </w:pPr>
      <w:r w:rsidRPr="009A0F67">
        <w:rPr>
          <w:noProof/>
          <w:lang w:val="es-CO" w:eastAsia="es-CO"/>
        </w:rPr>
        <w:lastRenderedPageBreak/>
        <w:drawing>
          <wp:inline distT="0" distB="0" distL="0" distR="0" wp14:anchorId="48B41E33" wp14:editId="40F77167">
            <wp:extent cx="3695700" cy="729996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4167" t="1386" r="9167" b="1384"/>
                    <a:stretch/>
                  </pic:blipFill>
                  <pic:spPr bwMode="auto">
                    <a:xfrm>
                      <a:off x="0" y="0"/>
                      <a:ext cx="3703924" cy="7316205"/>
                    </a:xfrm>
                    <a:prstGeom prst="rect">
                      <a:avLst/>
                    </a:prstGeom>
                    <a:ln>
                      <a:noFill/>
                    </a:ln>
                    <a:extLst>
                      <a:ext uri="{53640926-AAD7-44D8-BBD7-CCE9431645EC}">
                        <a14:shadowObscured xmlns:a14="http://schemas.microsoft.com/office/drawing/2010/main"/>
                      </a:ext>
                    </a:extLst>
                  </pic:spPr>
                </pic:pic>
              </a:graphicData>
            </a:graphic>
          </wp:inline>
        </w:drawing>
      </w:r>
    </w:p>
    <w:p w:rsidR="00BB691C" w:rsidRDefault="00BB691C" w:rsidP="00531752">
      <w:pPr>
        <w:jc w:val="both"/>
        <w:rPr>
          <w:rFonts w:ascii="Tahoma" w:eastAsia="Times New Roman" w:hAnsi="Tahoma" w:cs="Tahoma"/>
        </w:rPr>
      </w:pPr>
      <w:r w:rsidRPr="009A7AA1">
        <w:rPr>
          <w:rFonts w:ascii="Tahoma" w:eastAsia="Times New Roman" w:hAnsi="Tahoma" w:cs="Tahoma"/>
          <w:bCs/>
        </w:rPr>
        <w:t>El presupuesto Inicial de ingresos se dividió en: Ingresos Tributarios con</w:t>
      </w:r>
      <w:r>
        <w:rPr>
          <w:rFonts w:ascii="Tahoma" w:eastAsia="Times New Roman" w:hAnsi="Tahoma" w:cs="Tahoma"/>
          <w:bCs/>
        </w:rPr>
        <w:t xml:space="preserve"> el </w:t>
      </w:r>
      <w:r w:rsidR="00531752">
        <w:rPr>
          <w:rFonts w:ascii="Tahoma" w:eastAsia="Times New Roman" w:hAnsi="Tahoma" w:cs="Tahoma"/>
          <w:bCs/>
        </w:rPr>
        <w:t>12.67</w:t>
      </w:r>
      <w:r w:rsidRPr="009A7AA1">
        <w:rPr>
          <w:rFonts w:ascii="Tahoma" w:eastAsia="Times New Roman" w:hAnsi="Tahoma" w:cs="Tahoma"/>
          <w:bCs/>
        </w:rPr>
        <w:t>%</w:t>
      </w:r>
      <w:r>
        <w:rPr>
          <w:rFonts w:ascii="Tahoma" w:eastAsia="Times New Roman" w:hAnsi="Tahoma" w:cs="Tahoma"/>
          <w:bCs/>
        </w:rPr>
        <w:t>, equivalentes a</w:t>
      </w:r>
      <w:r w:rsidRPr="009A7AA1">
        <w:rPr>
          <w:rFonts w:ascii="Tahoma" w:eastAsia="Times New Roman" w:hAnsi="Tahoma" w:cs="Tahoma"/>
          <w:bCs/>
        </w:rPr>
        <w:t xml:space="preserve"> </w:t>
      </w:r>
      <w:r>
        <w:rPr>
          <w:rFonts w:ascii="Tahoma" w:eastAsia="Times New Roman" w:hAnsi="Tahoma" w:cs="Tahoma"/>
          <w:bCs/>
        </w:rPr>
        <w:t>$</w:t>
      </w:r>
      <w:r w:rsidR="00531752">
        <w:rPr>
          <w:rFonts w:ascii="Tahoma" w:eastAsia="Times New Roman" w:hAnsi="Tahoma" w:cs="Tahoma"/>
          <w:bCs/>
        </w:rPr>
        <w:t>711</w:t>
      </w:r>
      <w:r>
        <w:rPr>
          <w:rFonts w:ascii="Tahoma" w:eastAsia="Times New Roman" w:hAnsi="Tahoma" w:cs="Tahoma"/>
          <w:bCs/>
        </w:rPr>
        <w:t xml:space="preserve"> millones,</w:t>
      </w:r>
      <w:r>
        <w:rPr>
          <w:rFonts w:ascii="Tahoma" w:eastAsia="Times New Roman" w:hAnsi="Tahoma" w:cs="Tahoma"/>
        </w:rPr>
        <w:t xml:space="preserve"> </w:t>
      </w:r>
      <w:r w:rsidRPr="009A7AA1">
        <w:rPr>
          <w:rFonts w:ascii="Tahoma" w:eastAsia="Times New Roman" w:hAnsi="Tahoma" w:cs="Tahoma"/>
          <w:bCs/>
        </w:rPr>
        <w:t xml:space="preserve">Ingresos no Tributarios </w:t>
      </w:r>
      <w:r>
        <w:rPr>
          <w:rFonts w:ascii="Tahoma" w:eastAsia="Times New Roman" w:hAnsi="Tahoma" w:cs="Tahoma"/>
          <w:bCs/>
        </w:rPr>
        <w:t xml:space="preserve">con el </w:t>
      </w:r>
      <w:r w:rsidR="00531752">
        <w:rPr>
          <w:rFonts w:ascii="Tahoma" w:eastAsia="Times New Roman" w:hAnsi="Tahoma" w:cs="Tahoma"/>
          <w:bCs/>
        </w:rPr>
        <w:t>0.87</w:t>
      </w:r>
      <w:r>
        <w:rPr>
          <w:rFonts w:ascii="Tahoma" w:eastAsia="Times New Roman" w:hAnsi="Tahoma" w:cs="Tahoma"/>
          <w:bCs/>
        </w:rPr>
        <w:t xml:space="preserve">% equivalente a </w:t>
      </w:r>
      <w:r w:rsidRPr="009A7AA1">
        <w:rPr>
          <w:rFonts w:ascii="Tahoma" w:eastAsia="Times New Roman" w:hAnsi="Tahoma" w:cs="Tahoma"/>
          <w:bCs/>
        </w:rPr>
        <w:t>$</w:t>
      </w:r>
      <w:r w:rsidR="00531752">
        <w:rPr>
          <w:rFonts w:ascii="Tahoma" w:eastAsia="Times New Roman" w:hAnsi="Tahoma" w:cs="Tahoma"/>
          <w:bCs/>
        </w:rPr>
        <w:t>4</w:t>
      </w:r>
      <w:r w:rsidR="00D51858">
        <w:rPr>
          <w:rFonts w:ascii="Tahoma" w:eastAsia="Times New Roman" w:hAnsi="Tahoma" w:cs="Tahoma"/>
          <w:bCs/>
        </w:rPr>
        <w:t>8</w:t>
      </w:r>
      <w:r>
        <w:rPr>
          <w:rFonts w:ascii="Tahoma" w:eastAsia="Times New Roman" w:hAnsi="Tahoma" w:cs="Tahoma"/>
        </w:rPr>
        <w:t xml:space="preserve"> millones</w:t>
      </w:r>
      <w:r w:rsidR="00531752">
        <w:rPr>
          <w:rFonts w:ascii="Tahoma" w:eastAsia="Times New Roman" w:hAnsi="Tahoma" w:cs="Tahoma"/>
        </w:rPr>
        <w:t>, Sistema General de Participaciones</w:t>
      </w:r>
      <w:r>
        <w:rPr>
          <w:rFonts w:ascii="Tahoma" w:eastAsia="Times New Roman" w:hAnsi="Tahoma" w:cs="Tahoma"/>
        </w:rPr>
        <w:t xml:space="preserve"> </w:t>
      </w:r>
      <w:r w:rsidR="00531752">
        <w:rPr>
          <w:rFonts w:ascii="Tahoma" w:eastAsia="Times New Roman" w:hAnsi="Tahoma" w:cs="Tahoma"/>
        </w:rPr>
        <w:t>con el  53.79 equivalente a $3.021</w:t>
      </w:r>
      <w:r w:rsidR="00D51858">
        <w:rPr>
          <w:rFonts w:ascii="Tahoma" w:eastAsia="Times New Roman" w:hAnsi="Tahoma" w:cs="Tahoma"/>
        </w:rPr>
        <w:t xml:space="preserve"> millones,</w:t>
      </w:r>
      <w:r>
        <w:rPr>
          <w:rFonts w:ascii="Tahoma" w:eastAsia="Times New Roman" w:hAnsi="Tahoma" w:cs="Tahoma"/>
          <w:bCs/>
        </w:rPr>
        <w:t xml:space="preserve"> </w:t>
      </w:r>
      <w:r w:rsidR="00531752">
        <w:rPr>
          <w:rFonts w:ascii="Tahoma" w:eastAsia="Times New Roman" w:hAnsi="Tahoma" w:cs="Tahoma"/>
          <w:bCs/>
        </w:rPr>
        <w:t>Ingresos de Capital</w:t>
      </w:r>
      <w:r w:rsidRPr="009A7AA1">
        <w:rPr>
          <w:rFonts w:ascii="Tahoma" w:eastAsia="Times New Roman" w:hAnsi="Tahoma" w:cs="Tahoma"/>
          <w:bCs/>
        </w:rPr>
        <w:t xml:space="preserve"> </w:t>
      </w:r>
      <w:r>
        <w:rPr>
          <w:rFonts w:ascii="Tahoma" w:eastAsia="Times New Roman" w:hAnsi="Tahoma" w:cs="Tahoma"/>
          <w:bCs/>
        </w:rPr>
        <w:t xml:space="preserve">con un </w:t>
      </w:r>
      <w:r w:rsidR="00531752">
        <w:rPr>
          <w:rFonts w:ascii="Tahoma" w:eastAsia="Times New Roman" w:hAnsi="Tahoma" w:cs="Tahoma"/>
          <w:bCs/>
        </w:rPr>
        <w:t>5.54</w:t>
      </w:r>
      <w:r>
        <w:rPr>
          <w:rFonts w:ascii="Tahoma" w:eastAsia="Times New Roman" w:hAnsi="Tahoma" w:cs="Tahoma"/>
          <w:bCs/>
        </w:rPr>
        <w:t xml:space="preserve">%, equivalentes a </w:t>
      </w:r>
      <w:r w:rsidRPr="009A7AA1">
        <w:rPr>
          <w:rFonts w:ascii="Tahoma" w:eastAsia="Times New Roman" w:hAnsi="Tahoma" w:cs="Tahoma"/>
          <w:bCs/>
        </w:rPr>
        <w:t>$</w:t>
      </w:r>
      <w:r w:rsidR="00531752">
        <w:rPr>
          <w:rFonts w:ascii="Tahoma" w:eastAsia="Times New Roman" w:hAnsi="Tahoma" w:cs="Tahoma"/>
          <w:bCs/>
        </w:rPr>
        <w:t>311</w:t>
      </w:r>
      <w:r>
        <w:rPr>
          <w:rFonts w:ascii="Tahoma" w:eastAsia="Times New Roman" w:hAnsi="Tahoma" w:cs="Tahoma"/>
          <w:bCs/>
        </w:rPr>
        <w:t xml:space="preserve"> </w:t>
      </w:r>
      <w:r>
        <w:rPr>
          <w:rFonts w:ascii="Tahoma" w:eastAsia="Times New Roman" w:hAnsi="Tahoma" w:cs="Tahoma"/>
        </w:rPr>
        <w:t>millones</w:t>
      </w:r>
      <w:r w:rsidR="00D51858">
        <w:rPr>
          <w:rFonts w:ascii="Tahoma" w:eastAsia="Times New Roman" w:hAnsi="Tahoma" w:cs="Tahoma"/>
        </w:rPr>
        <w:t>,</w:t>
      </w:r>
      <w:r w:rsidR="00531752">
        <w:rPr>
          <w:rFonts w:ascii="Tahoma" w:eastAsia="Times New Roman" w:hAnsi="Tahoma" w:cs="Tahoma"/>
          <w:bCs/>
        </w:rPr>
        <w:t xml:space="preserve"> Recursos de Capital</w:t>
      </w:r>
      <w:r w:rsidR="00D51858" w:rsidRPr="009A7AA1">
        <w:rPr>
          <w:rFonts w:ascii="Tahoma" w:eastAsia="Times New Roman" w:hAnsi="Tahoma" w:cs="Tahoma"/>
          <w:bCs/>
        </w:rPr>
        <w:t xml:space="preserve"> </w:t>
      </w:r>
      <w:r w:rsidR="00531752">
        <w:rPr>
          <w:rFonts w:ascii="Tahoma" w:eastAsia="Times New Roman" w:hAnsi="Tahoma" w:cs="Tahoma"/>
          <w:bCs/>
        </w:rPr>
        <w:t>con un 0,09</w:t>
      </w:r>
      <w:r w:rsidR="00D51858">
        <w:rPr>
          <w:rFonts w:ascii="Tahoma" w:eastAsia="Times New Roman" w:hAnsi="Tahoma" w:cs="Tahoma"/>
          <w:bCs/>
        </w:rPr>
        <w:t xml:space="preserve">%, equivalentes a </w:t>
      </w:r>
      <w:r w:rsidR="00D51858" w:rsidRPr="009A7AA1">
        <w:rPr>
          <w:rFonts w:ascii="Tahoma" w:eastAsia="Times New Roman" w:hAnsi="Tahoma" w:cs="Tahoma"/>
          <w:bCs/>
        </w:rPr>
        <w:t>$</w:t>
      </w:r>
      <w:r w:rsidR="00531752">
        <w:rPr>
          <w:rFonts w:ascii="Tahoma" w:eastAsia="Times New Roman" w:hAnsi="Tahoma" w:cs="Tahoma"/>
          <w:bCs/>
        </w:rPr>
        <w:t>5</w:t>
      </w:r>
      <w:r w:rsidR="00D51858">
        <w:rPr>
          <w:rFonts w:ascii="Tahoma" w:eastAsia="Times New Roman" w:hAnsi="Tahoma" w:cs="Tahoma"/>
          <w:bCs/>
        </w:rPr>
        <w:t xml:space="preserve"> </w:t>
      </w:r>
      <w:r w:rsidR="00D51858">
        <w:rPr>
          <w:rFonts w:ascii="Tahoma" w:eastAsia="Times New Roman" w:hAnsi="Tahoma" w:cs="Tahoma"/>
        </w:rPr>
        <w:t>millones</w:t>
      </w:r>
      <w:r w:rsidR="00531752">
        <w:rPr>
          <w:rFonts w:ascii="Tahoma" w:eastAsia="Times New Roman" w:hAnsi="Tahoma" w:cs="Tahoma"/>
        </w:rPr>
        <w:t xml:space="preserve">, Fosyga </w:t>
      </w:r>
      <w:r w:rsidR="006E052C">
        <w:rPr>
          <w:rFonts w:ascii="Tahoma" w:eastAsia="Times New Roman" w:hAnsi="Tahoma" w:cs="Tahoma"/>
        </w:rPr>
        <w:t xml:space="preserve">con un 26.10%, equivalentes 1.466 millones, </w:t>
      </w:r>
      <w:r w:rsidR="001B2156">
        <w:rPr>
          <w:rFonts w:ascii="Tahoma" w:eastAsia="Times New Roman" w:hAnsi="Tahoma" w:cs="Tahoma"/>
        </w:rPr>
        <w:t xml:space="preserve">Col </w:t>
      </w:r>
      <w:r w:rsidR="001B2156">
        <w:rPr>
          <w:rFonts w:ascii="Tahoma" w:eastAsia="Times New Roman" w:hAnsi="Tahoma" w:cs="Tahoma"/>
        </w:rPr>
        <w:lastRenderedPageBreak/>
        <w:t>juegos</w:t>
      </w:r>
      <w:r w:rsidR="006E052C">
        <w:rPr>
          <w:rFonts w:ascii="Tahoma" w:eastAsia="Times New Roman" w:hAnsi="Tahoma" w:cs="Tahoma"/>
        </w:rPr>
        <w:t xml:space="preserve"> con 0.33%, equivalentes 18 millones y Otras Transferencias con un 0.61</w:t>
      </w:r>
      <w:r w:rsidR="00AA7616">
        <w:rPr>
          <w:rFonts w:ascii="Tahoma" w:eastAsia="Times New Roman" w:hAnsi="Tahoma" w:cs="Tahoma"/>
        </w:rPr>
        <w:t>%</w:t>
      </w:r>
      <w:r w:rsidR="00BE5201">
        <w:rPr>
          <w:rFonts w:ascii="Tahoma" w:eastAsia="Times New Roman" w:hAnsi="Tahoma" w:cs="Tahoma"/>
        </w:rPr>
        <w:t>, equivalentes 34 millones</w:t>
      </w:r>
      <w:r>
        <w:rPr>
          <w:rFonts w:ascii="Tahoma" w:eastAsia="Times New Roman" w:hAnsi="Tahoma" w:cs="Tahoma"/>
        </w:rPr>
        <w:t xml:space="preserve">. </w:t>
      </w:r>
    </w:p>
    <w:p w:rsidR="00BB691C" w:rsidRPr="005F4548" w:rsidRDefault="00BB691C" w:rsidP="00BB691C">
      <w:pPr>
        <w:jc w:val="both"/>
        <w:rPr>
          <w:rFonts w:ascii="Tahoma" w:eastAsia="Times New Roman" w:hAnsi="Tahoma" w:cs="Tahoma"/>
        </w:rPr>
      </w:pPr>
      <w:r>
        <w:rPr>
          <w:rFonts w:ascii="Tahoma" w:eastAsia="Times New Roman" w:hAnsi="Tahoma" w:cs="Tahoma"/>
          <w:noProof/>
          <w:lang w:val="es-CO" w:eastAsia="es-CO"/>
        </w:rPr>
        <w:drawing>
          <wp:inline distT="0" distB="0" distL="0" distR="0" wp14:anchorId="27DAAB4D" wp14:editId="0AEA5F86">
            <wp:extent cx="5486400" cy="3200400"/>
            <wp:effectExtent l="0" t="0" r="19050" b="19050"/>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B691C" w:rsidRDefault="00BB691C" w:rsidP="00BB691C">
      <w:pPr>
        <w:tabs>
          <w:tab w:val="left" w:pos="2835"/>
        </w:tabs>
        <w:spacing w:after="0" w:line="19" w:lineRule="atLeast"/>
        <w:jc w:val="both"/>
        <w:rPr>
          <w:rFonts w:ascii="Tahoma" w:eastAsia="Times New Roman" w:hAnsi="Tahoma" w:cs="Tahoma"/>
          <w:b/>
          <w:bCs/>
        </w:rPr>
      </w:pPr>
    </w:p>
    <w:p w:rsidR="00BB691C" w:rsidRPr="00521391" w:rsidRDefault="00BB691C" w:rsidP="00BB691C">
      <w:pPr>
        <w:tabs>
          <w:tab w:val="left" w:pos="2835"/>
        </w:tabs>
        <w:spacing w:after="0" w:line="19" w:lineRule="atLeast"/>
        <w:jc w:val="both"/>
        <w:rPr>
          <w:rFonts w:ascii="Tahoma" w:eastAsia="Times New Roman" w:hAnsi="Tahoma" w:cs="Tahoma"/>
          <w:b/>
          <w:bCs/>
        </w:rPr>
      </w:pPr>
      <w:r w:rsidRPr="00521391">
        <w:rPr>
          <w:rFonts w:ascii="Tahoma" w:eastAsia="Times New Roman" w:hAnsi="Tahoma" w:cs="Tahoma"/>
          <w:b/>
          <w:bCs/>
        </w:rPr>
        <w:t>MODIFICACIONES AL PRESUPUESTO</w:t>
      </w:r>
      <w:r>
        <w:rPr>
          <w:rFonts w:ascii="Tahoma" w:eastAsia="Times New Roman" w:hAnsi="Tahoma" w:cs="Tahoma"/>
          <w:b/>
          <w:bCs/>
        </w:rPr>
        <w:t xml:space="preserve"> DE INGRESOS (ADICIONES)</w:t>
      </w:r>
    </w:p>
    <w:p w:rsidR="009606C3" w:rsidRDefault="009606C3" w:rsidP="009606C3">
      <w:pPr>
        <w:jc w:val="both"/>
        <w:rPr>
          <w:noProof/>
        </w:rPr>
      </w:pPr>
    </w:p>
    <w:p w:rsidR="00BB691C" w:rsidRPr="009606C3" w:rsidRDefault="009606C3" w:rsidP="009606C3">
      <w:pPr>
        <w:jc w:val="both"/>
        <w:rPr>
          <w:rFonts w:ascii="Tahoma" w:hAnsi="Tahoma" w:cs="Tahoma"/>
          <w:noProof/>
        </w:rPr>
      </w:pPr>
      <w:r w:rsidRPr="009606C3">
        <w:rPr>
          <w:rFonts w:ascii="Tahoma" w:hAnsi="Tahoma" w:cs="Tahoma"/>
          <w:noProof/>
        </w:rPr>
        <w:t xml:space="preserve">El presupuesto de </w:t>
      </w:r>
      <w:r w:rsidR="00411A3D">
        <w:rPr>
          <w:rFonts w:ascii="Tahoma" w:hAnsi="Tahoma" w:cs="Tahoma"/>
          <w:noProof/>
        </w:rPr>
        <w:t xml:space="preserve">ingresos del Municipio de </w:t>
      </w:r>
      <w:r w:rsidR="005A555A">
        <w:rPr>
          <w:rFonts w:ascii="Tahoma" w:hAnsi="Tahoma" w:cs="Tahoma"/>
        </w:rPr>
        <w:t>Herveo</w:t>
      </w:r>
      <w:r w:rsidR="005A555A">
        <w:rPr>
          <w:rFonts w:ascii="Tahoma" w:hAnsi="Tahoma" w:cs="Tahoma"/>
          <w:noProof/>
        </w:rPr>
        <w:t xml:space="preserve"> </w:t>
      </w:r>
      <w:r w:rsidR="00411A3D">
        <w:rPr>
          <w:rFonts w:ascii="Tahoma" w:hAnsi="Tahoma" w:cs="Tahoma"/>
          <w:noProof/>
        </w:rPr>
        <w:t xml:space="preserve">fue adicionado en un </w:t>
      </w:r>
      <w:r w:rsidR="00AF3118">
        <w:rPr>
          <w:rFonts w:ascii="Tahoma" w:hAnsi="Tahoma" w:cs="Tahoma"/>
          <w:noProof/>
        </w:rPr>
        <w:t>111,93% equivalentes a $6.287</w:t>
      </w:r>
      <w:r w:rsidRPr="009606C3">
        <w:rPr>
          <w:rFonts w:ascii="Tahoma" w:hAnsi="Tahoma" w:cs="Tahoma"/>
          <w:noProof/>
        </w:rPr>
        <w:t xml:space="preserve"> millones y las principales modificaciones se realizaron en los Ingreso</w:t>
      </w:r>
      <w:r w:rsidR="00AF3118">
        <w:rPr>
          <w:rFonts w:ascii="Tahoma" w:hAnsi="Tahoma" w:cs="Tahoma"/>
          <w:noProof/>
        </w:rPr>
        <w:t>s Tributarios en la suma de $255</w:t>
      </w:r>
      <w:r w:rsidRPr="009606C3">
        <w:rPr>
          <w:rFonts w:ascii="Tahoma" w:hAnsi="Tahoma" w:cs="Tahoma"/>
          <w:noProof/>
        </w:rPr>
        <w:t xml:space="preserve"> millones,  Ingresos No tri</w:t>
      </w:r>
      <w:r w:rsidR="00AF3118">
        <w:rPr>
          <w:rFonts w:ascii="Tahoma" w:hAnsi="Tahoma" w:cs="Tahoma"/>
          <w:noProof/>
        </w:rPr>
        <w:t>butarios en la suma de $16</w:t>
      </w:r>
      <w:r w:rsidRPr="009606C3">
        <w:rPr>
          <w:rFonts w:ascii="Tahoma" w:hAnsi="Tahoma" w:cs="Tahoma"/>
          <w:noProof/>
        </w:rPr>
        <w:t xml:space="preserve"> mil</w:t>
      </w:r>
      <w:r w:rsidR="00AF3118">
        <w:rPr>
          <w:rFonts w:ascii="Tahoma" w:hAnsi="Tahoma" w:cs="Tahoma"/>
          <w:noProof/>
        </w:rPr>
        <w:t>lones, Sistema General de Participaciones 703 millones, Ingreso de Capital en la suma de $3.287 millones, Recursos de Capital  $1.734</w:t>
      </w:r>
      <w:r w:rsidRPr="009606C3">
        <w:rPr>
          <w:rFonts w:ascii="Tahoma" w:hAnsi="Tahoma" w:cs="Tahoma"/>
          <w:noProof/>
        </w:rPr>
        <w:t xml:space="preserve"> millones</w:t>
      </w:r>
      <w:r w:rsidR="00AF3118">
        <w:rPr>
          <w:rFonts w:ascii="Tahoma" w:hAnsi="Tahoma" w:cs="Tahoma"/>
          <w:noProof/>
        </w:rPr>
        <w:t>, Fosyga con  $289 millones</w:t>
      </w:r>
      <w:r w:rsidRPr="009606C3">
        <w:rPr>
          <w:rFonts w:ascii="Tahoma" w:hAnsi="Tahoma" w:cs="Tahoma"/>
          <w:noProof/>
        </w:rPr>
        <w:t xml:space="preserve">. Ver tabla.                                                                            </w:t>
      </w:r>
      <w:r>
        <w:rPr>
          <w:rFonts w:ascii="Tahoma" w:hAnsi="Tahoma" w:cs="Tahoma"/>
          <w:noProof/>
        </w:rPr>
        <w:t xml:space="preserve">             </w:t>
      </w:r>
    </w:p>
    <w:p w:rsidR="00BB691C" w:rsidRPr="00736C25" w:rsidRDefault="00736C25" w:rsidP="00736C25">
      <w:pPr>
        <w:jc w:val="center"/>
        <w:rPr>
          <w:rFonts w:ascii="Tahoma" w:eastAsia="Times New Roman" w:hAnsi="Tahoma" w:cs="Tahoma"/>
        </w:rPr>
      </w:pPr>
      <w:r>
        <w:rPr>
          <w:noProof/>
          <w:lang w:val="es-CO" w:eastAsia="es-CO"/>
        </w:rPr>
        <w:drawing>
          <wp:inline distT="0" distB="0" distL="0" distR="0" wp14:anchorId="29651173" wp14:editId="255B25FF">
            <wp:extent cx="5908345" cy="20726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10987" t="7558" b="6977"/>
                    <a:stretch/>
                  </pic:blipFill>
                  <pic:spPr bwMode="auto">
                    <a:xfrm>
                      <a:off x="0" y="0"/>
                      <a:ext cx="5942082" cy="2084475"/>
                    </a:xfrm>
                    <a:prstGeom prst="rect">
                      <a:avLst/>
                    </a:prstGeom>
                    <a:ln>
                      <a:noFill/>
                    </a:ln>
                    <a:extLst>
                      <a:ext uri="{53640926-AAD7-44D8-BBD7-CCE9431645EC}">
                        <a14:shadowObscured xmlns:a14="http://schemas.microsoft.com/office/drawing/2010/main"/>
                      </a:ext>
                    </a:extLst>
                  </pic:spPr>
                </pic:pic>
              </a:graphicData>
            </a:graphic>
          </wp:inline>
        </w:drawing>
      </w:r>
    </w:p>
    <w:p w:rsidR="00BB691C" w:rsidRPr="00BF3E26" w:rsidRDefault="00BB691C" w:rsidP="00BB691C">
      <w:pPr>
        <w:tabs>
          <w:tab w:val="left" w:pos="5667"/>
        </w:tabs>
        <w:spacing w:after="0" w:line="19" w:lineRule="atLeast"/>
        <w:jc w:val="both"/>
        <w:rPr>
          <w:rFonts w:ascii="Tahoma" w:eastAsia="Times New Roman" w:hAnsi="Tahoma" w:cs="Tahoma"/>
          <w:b/>
          <w:bCs/>
        </w:rPr>
      </w:pPr>
      <w:r w:rsidRPr="00BF3E26">
        <w:rPr>
          <w:rFonts w:ascii="Tahoma" w:eastAsia="Times New Roman" w:hAnsi="Tahoma" w:cs="Tahoma"/>
          <w:b/>
          <w:bCs/>
        </w:rPr>
        <w:t>FUENTES DE FINANCIACION PRESUPUESTO</w:t>
      </w:r>
    </w:p>
    <w:p w:rsidR="00BB691C" w:rsidRPr="00BF3E26" w:rsidRDefault="00BB691C" w:rsidP="00BB691C">
      <w:pPr>
        <w:tabs>
          <w:tab w:val="left" w:pos="5667"/>
        </w:tabs>
        <w:spacing w:after="0" w:line="19" w:lineRule="atLeast"/>
        <w:jc w:val="both"/>
        <w:rPr>
          <w:rFonts w:ascii="Tahoma" w:eastAsia="Times New Roman" w:hAnsi="Tahoma" w:cs="Tahoma"/>
          <w:b/>
          <w:bCs/>
        </w:rPr>
      </w:pPr>
    </w:p>
    <w:p w:rsidR="00BB691C" w:rsidRDefault="00BB691C" w:rsidP="00BB691C">
      <w:pPr>
        <w:tabs>
          <w:tab w:val="left" w:pos="5667"/>
        </w:tabs>
        <w:spacing w:after="0" w:line="19" w:lineRule="atLeast"/>
        <w:jc w:val="both"/>
        <w:rPr>
          <w:rFonts w:ascii="Tahoma" w:eastAsia="Times New Roman" w:hAnsi="Tahoma" w:cs="Tahoma"/>
          <w:bCs/>
        </w:rPr>
      </w:pPr>
      <w:r w:rsidRPr="00BF3E26">
        <w:rPr>
          <w:rFonts w:ascii="Tahoma" w:eastAsia="Times New Roman" w:hAnsi="Tahoma" w:cs="Tahoma"/>
          <w:bCs/>
        </w:rPr>
        <w:t>Las principales fuentes que financiaron el pre</w:t>
      </w:r>
      <w:r w:rsidR="00B568EC">
        <w:rPr>
          <w:rFonts w:ascii="Tahoma" w:eastAsia="Times New Roman" w:hAnsi="Tahoma" w:cs="Tahoma"/>
          <w:bCs/>
        </w:rPr>
        <w:t xml:space="preserve">supuesto del Municipio de </w:t>
      </w:r>
      <w:r w:rsidR="005A555A">
        <w:rPr>
          <w:rFonts w:ascii="Tahoma" w:hAnsi="Tahoma" w:cs="Tahoma"/>
        </w:rPr>
        <w:t>Herveo</w:t>
      </w:r>
      <w:r w:rsidR="005A555A" w:rsidRPr="00BF3E26">
        <w:rPr>
          <w:rFonts w:ascii="Tahoma" w:eastAsia="Times New Roman" w:hAnsi="Tahoma" w:cs="Tahoma"/>
          <w:bCs/>
        </w:rPr>
        <w:t xml:space="preserve"> </w:t>
      </w:r>
      <w:r w:rsidRPr="00BF3E26">
        <w:rPr>
          <w:rFonts w:ascii="Tahoma" w:eastAsia="Times New Roman" w:hAnsi="Tahoma" w:cs="Tahoma"/>
          <w:bCs/>
        </w:rPr>
        <w:t>fueron los Ingresos</w:t>
      </w:r>
      <w:r w:rsidR="008E2B71">
        <w:rPr>
          <w:rFonts w:ascii="Tahoma" w:eastAsia="Times New Roman" w:hAnsi="Tahoma" w:cs="Tahoma"/>
          <w:bCs/>
        </w:rPr>
        <w:t xml:space="preserve"> Tributarios con $1.633 </w:t>
      </w:r>
      <w:r>
        <w:rPr>
          <w:rFonts w:ascii="Tahoma" w:eastAsia="Times New Roman" w:hAnsi="Tahoma" w:cs="Tahoma"/>
          <w:bCs/>
        </w:rPr>
        <w:t>millones</w:t>
      </w:r>
      <w:r w:rsidR="00C323C7">
        <w:rPr>
          <w:rFonts w:ascii="Tahoma" w:eastAsia="Times New Roman" w:hAnsi="Tahoma" w:cs="Tahoma"/>
          <w:bCs/>
        </w:rPr>
        <w:t xml:space="preserve"> y No tributarios con $54 millones</w:t>
      </w:r>
      <w:r w:rsidR="008E2B71">
        <w:rPr>
          <w:rFonts w:ascii="Tahoma" w:eastAsia="Times New Roman" w:hAnsi="Tahoma" w:cs="Tahoma"/>
          <w:bCs/>
        </w:rPr>
        <w:t>, R</w:t>
      </w:r>
      <w:r w:rsidRPr="00BF3E26">
        <w:rPr>
          <w:rFonts w:ascii="Tahoma" w:eastAsia="Times New Roman" w:hAnsi="Tahoma" w:cs="Tahoma"/>
          <w:bCs/>
        </w:rPr>
        <w:t>ecursos del Sistema Gener</w:t>
      </w:r>
      <w:r w:rsidR="00E34DCD">
        <w:rPr>
          <w:rFonts w:ascii="Tahoma" w:eastAsia="Times New Roman" w:hAnsi="Tahoma" w:cs="Tahoma"/>
          <w:bCs/>
        </w:rPr>
        <w:t>al de partici</w:t>
      </w:r>
      <w:r w:rsidR="00C323C7">
        <w:rPr>
          <w:rFonts w:ascii="Tahoma" w:eastAsia="Times New Roman" w:hAnsi="Tahoma" w:cs="Tahoma"/>
          <w:bCs/>
        </w:rPr>
        <w:t>paciones con $3.537 millones.</w:t>
      </w:r>
    </w:p>
    <w:p w:rsidR="00C323C7" w:rsidRDefault="00C323C7" w:rsidP="00BB691C">
      <w:pPr>
        <w:tabs>
          <w:tab w:val="left" w:pos="5667"/>
        </w:tabs>
        <w:spacing w:after="0" w:line="19" w:lineRule="atLeast"/>
        <w:jc w:val="both"/>
        <w:rPr>
          <w:rFonts w:ascii="Tahoma" w:eastAsia="Times New Roman" w:hAnsi="Tahoma" w:cs="Tahoma"/>
          <w:bCs/>
        </w:rPr>
      </w:pPr>
    </w:p>
    <w:p w:rsidR="00C323C7" w:rsidRDefault="00C323C7" w:rsidP="00C323C7">
      <w:pPr>
        <w:tabs>
          <w:tab w:val="left" w:pos="5667"/>
        </w:tabs>
        <w:spacing w:after="0" w:line="19" w:lineRule="atLeast"/>
        <w:jc w:val="center"/>
        <w:rPr>
          <w:rFonts w:ascii="Tahoma" w:eastAsia="Times New Roman" w:hAnsi="Tahoma" w:cs="Tahoma"/>
          <w:bCs/>
        </w:rPr>
      </w:pPr>
      <w:r>
        <w:rPr>
          <w:rFonts w:ascii="Tahoma" w:eastAsia="Times New Roman" w:hAnsi="Tahoma" w:cs="Tahoma"/>
          <w:bCs/>
          <w:noProof/>
          <w:lang w:val="es-CO" w:eastAsia="es-CO"/>
        </w:rPr>
        <w:drawing>
          <wp:inline distT="0" distB="0" distL="0" distR="0" wp14:anchorId="7989CB4D" wp14:editId="364951F1">
            <wp:extent cx="5242560" cy="2316480"/>
            <wp:effectExtent l="0" t="0" r="15240" b="2667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323C7" w:rsidRDefault="00C323C7" w:rsidP="00BB691C">
      <w:pPr>
        <w:tabs>
          <w:tab w:val="left" w:pos="5667"/>
        </w:tabs>
        <w:spacing w:after="0" w:line="19" w:lineRule="atLeast"/>
        <w:jc w:val="both"/>
        <w:rPr>
          <w:rFonts w:ascii="Tahoma" w:eastAsia="Times New Roman" w:hAnsi="Tahoma" w:cs="Tahoma"/>
          <w:bCs/>
        </w:rPr>
      </w:pPr>
    </w:p>
    <w:p w:rsidR="00BB691C" w:rsidRPr="002E4D5C" w:rsidRDefault="00BB691C" w:rsidP="00C323C7">
      <w:pPr>
        <w:tabs>
          <w:tab w:val="left" w:pos="5667"/>
        </w:tabs>
        <w:spacing w:after="0" w:line="19" w:lineRule="atLeast"/>
        <w:jc w:val="center"/>
        <w:rPr>
          <w:rFonts w:ascii="Tahoma" w:eastAsia="Times New Roman" w:hAnsi="Tahoma" w:cs="Tahoma"/>
          <w:bCs/>
          <w:sz w:val="20"/>
        </w:rPr>
      </w:pPr>
      <w:r w:rsidRPr="00E13639">
        <w:rPr>
          <w:rFonts w:ascii="Tahoma" w:eastAsia="Times New Roman" w:hAnsi="Tahoma" w:cs="Tahoma"/>
          <w:bCs/>
          <w:noProof/>
          <w:color w:val="FF0000"/>
          <w:sz w:val="20"/>
          <w:shd w:val="clear" w:color="auto" w:fill="FF0000"/>
          <w:lang w:val="es-CO" w:eastAsia="es-CO"/>
        </w:rPr>
        <w:drawing>
          <wp:inline distT="0" distB="0" distL="0" distR="0" wp14:anchorId="7BA31E97" wp14:editId="3BD985C9">
            <wp:extent cx="5688281" cy="2992582"/>
            <wp:effectExtent l="0" t="0" r="27305" b="1778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B691C" w:rsidRPr="002E4D5C" w:rsidRDefault="00BB691C" w:rsidP="00BB691C">
      <w:pPr>
        <w:tabs>
          <w:tab w:val="left" w:pos="5667"/>
        </w:tabs>
        <w:spacing w:after="0" w:line="19" w:lineRule="atLeast"/>
        <w:jc w:val="both"/>
        <w:rPr>
          <w:rFonts w:ascii="Tahoma" w:hAnsi="Tahoma" w:cs="Tahoma"/>
          <w:b/>
          <w:noProof/>
          <w:sz w:val="20"/>
        </w:rPr>
      </w:pPr>
      <w:r w:rsidRPr="002E4D5C">
        <w:rPr>
          <w:rFonts w:ascii="Tahoma" w:eastAsia="Times New Roman" w:hAnsi="Tahoma" w:cs="Tahoma"/>
          <w:bCs/>
          <w:sz w:val="20"/>
        </w:rPr>
        <w:t xml:space="preserve"> </w:t>
      </w:r>
    </w:p>
    <w:p w:rsidR="00BB691C" w:rsidRDefault="00BB691C" w:rsidP="00BB691C">
      <w:pPr>
        <w:tabs>
          <w:tab w:val="left" w:pos="2835"/>
        </w:tabs>
        <w:spacing w:after="0" w:line="19" w:lineRule="atLeast"/>
        <w:jc w:val="both"/>
        <w:rPr>
          <w:rFonts w:ascii="Tahoma" w:hAnsi="Tahoma" w:cs="Tahoma"/>
          <w:b/>
          <w:noProof/>
        </w:rPr>
      </w:pPr>
      <w:r w:rsidRPr="0054263E">
        <w:rPr>
          <w:rFonts w:ascii="Tahoma" w:hAnsi="Tahoma" w:cs="Tahoma"/>
          <w:b/>
          <w:noProof/>
        </w:rPr>
        <w:t>COMPORTAMIENTO DEL RECAUDO:</w:t>
      </w:r>
    </w:p>
    <w:p w:rsidR="00BB691C" w:rsidRDefault="00BB691C" w:rsidP="00BB691C">
      <w:pPr>
        <w:tabs>
          <w:tab w:val="left" w:pos="2835"/>
        </w:tabs>
        <w:spacing w:after="0" w:line="19" w:lineRule="atLeast"/>
        <w:jc w:val="both"/>
        <w:rPr>
          <w:rFonts w:ascii="Tahoma" w:hAnsi="Tahoma" w:cs="Tahoma"/>
          <w:noProof/>
        </w:rPr>
      </w:pPr>
    </w:p>
    <w:p w:rsidR="00BB691C" w:rsidRDefault="00BB691C" w:rsidP="009A1B55">
      <w:pPr>
        <w:tabs>
          <w:tab w:val="left" w:pos="2835"/>
        </w:tabs>
        <w:spacing w:after="0" w:line="19" w:lineRule="atLeast"/>
        <w:jc w:val="both"/>
        <w:rPr>
          <w:rFonts w:ascii="Tahoma" w:hAnsi="Tahoma" w:cs="Tahoma"/>
        </w:rPr>
      </w:pPr>
      <w:r>
        <w:rPr>
          <w:rFonts w:ascii="Tahoma" w:hAnsi="Tahoma" w:cs="Tahoma"/>
          <w:noProof/>
        </w:rPr>
        <w:t>E</w:t>
      </w:r>
      <w:r w:rsidRPr="00836C5C">
        <w:rPr>
          <w:rFonts w:ascii="Tahoma" w:hAnsi="Tahoma" w:cs="Tahoma"/>
          <w:noProof/>
        </w:rPr>
        <w:t xml:space="preserve">l presupuesto de ingresos </w:t>
      </w:r>
      <w:r>
        <w:rPr>
          <w:rFonts w:ascii="Tahoma" w:hAnsi="Tahoma" w:cs="Tahoma"/>
          <w:noProof/>
        </w:rPr>
        <w:t xml:space="preserve">definitivo </w:t>
      </w:r>
      <w:r w:rsidRPr="00836C5C">
        <w:rPr>
          <w:rFonts w:ascii="Tahoma" w:hAnsi="Tahoma" w:cs="Tahoma"/>
          <w:noProof/>
        </w:rPr>
        <w:t xml:space="preserve">del Municipio de </w:t>
      </w:r>
      <w:r w:rsidR="005A555A">
        <w:rPr>
          <w:rFonts w:ascii="Tahoma" w:hAnsi="Tahoma" w:cs="Tahoma"/>
        </w:rPr>
        <w:t>Herveo</w:t>
      </w:r>
      <w:r w:rsidR="005A555A" w:rsidRPr="00836C5C">
        <w:rPr>
          <w:rFonts w:ascii="Tahoma" w:hAnsi="Tahoma" w:cs="Tahoma"/>
          <w:noProof/>
        </w:rPr>
        <w:t xml:space="preserve"> </w:t>
      </w:r>
      <w:r w:rsidRPr="00836C5C">
        <w:rPr>
          <w:rFonts w:ascii="Tahoma" w:hAnsi="Tahoma" w:cs="Tahoma"/>
          <w:noProof/>
        </w:rPr>
        <w:t>a Diciembre 31 de 2015</w:t>
      </w:r>
      <w:r w:rsidR="00B568EC">
        <w:rPr>
          <w:rFonts w:ascii="Tahoma" w:hAnsi="Tahoma" w:cs="Tahoma"/>
          <w:noProof/>
        </w:rPr>
        <w:t xml:space="preserve"> fue de </w:t>
      </w:r>
      <w:r w:rsidR="00E13639">
        <w:rPr>
          <w:rFonts w:ascii="Tahoma" w:hAnsi="Tahoma" w:cs="Tahoma"/>
          <w:noProof/>
        </w:rPr>
        <w:t>$</w:t>
      </w:r>
      <w:r w:rsidR="00E13639" w:rsidRPr="00E13639">
        <w:rPr>
          <w:rFonts w:ascii="Tahoma" w:hAnsi="Tahoma" w:cs="Tahoma"/>
          <w:noProof/>
        </w:rPr>
        <w:t>11.565.256.192</w:t>
      </w:r>
      <w:r>
        <w:rPr>
          <w:rFonts w:ascii="Tahoma" w:hAnsi="Tahoma" w:cs="Tahoma"/>
          <w:noProof/>
        </w:rPr>
        <w:t xml:space="preserve">.oo, de los cuales se recaudó la suma de </w:t>
      </w:r>
      <w:r w:rsidRPr="00767FB9">
        <w:rPr>
          <w:rFonts w:ascii="Tahoma" w:hAnsi="Tahoma" w:cs="Tahoma"/>
          <w:noProof/>
        </w:rPr>
        <w:t>$</w:t>
      </w:r>
      <w:r w:rsidR="00E13639" w:rsidRPr="00E13639">
        <w:rPr>
          <w:rFonts w:ascii="Tahoma" w:hAnsi="Tahoma" w:cs="Tahoma"/>
          <w:noProof/>
        </w:rPr>
        <w:t>8.922.895.223</w:t>
      </w:r>
      <w:r>
        <w:rPr>
          <w:rFonts w:ascii="Tahoma" w:hAnsi="Tahoma" w:cs="Tahoma"/>
          <w:noProof/>
        </w:rPr>
        <w:t>.oo, es</w:t>
      </w:r>
      <w:r w:rsidR="00B568EC">
        <w:rPr>
          <w:rFonts w:ascii="Tahoma" w:hAnsi="Tahoma" w:cs="Tahoma"/>
          <w:noProof/>
        </w:rPr>
        <w:t xml:space="preserve"> decir, el r</w:t>
      </w:r>
      <w:r w:rsidR="009A1B55">
        <w:rPr>
          <w:rFonts w:ascii="Tahoma" w:hAnsi="Tahoma" w:cs="Tahoma"/>
          <w:noProof/>
        </w:rPr>
        <w:t>ecaudo fue del 77,15</w:t>
      </w:r>
      <w:r>
        <w:rPr>
          <w:rFonts w:ascii="Tahoma" w:hAnsi="Tahoma" w:cs="Tahoma"/>
          <w:noProof/>
        </w:rPr>
        <w:t xml:space="preserve">%, </w:t>
      </w:r>
      <w:r>
        <w:rPr>
          <w:rFonts w:ascii="Tahoma" w:hAnsi="Tahoma" w:cs="Tahoma"/>
        </w:rPr>
        <w:t>quedando pendient</w:t>
      </w:r>
      <w:r w:rsidR="009A1B55">
        <w:rPr>
          <w:rFonts w:ascii="Tahoma" w:hAnsi="Tahoma" w:cs="Tahoma"/>
        </w:rPr>
        <w:t>e por recaudar la suma de $2.642</w:t>
      </w:r>
      <w:r>
        <w:rPr>
          <w:rFonts w:ascii="Tahoma" w:hAnsi="Tahoma" w:cs="Tahoma"/>
        </w:rPr>
        <w:t xml:space="preserve"> millon</w:t>
      </w:r>
      <w:r w:rsidR="009A1B55">
        <w:rPr>
          <w:rFonts w:ascii="Tahoma" w:hAnsi="Tahoma" w:cs="Tahoma"/>
        </w:rPr>
        <w:t>es, correspondientes a los Ingresos de Capital y los Recursos de Capital.</w:t>
      </w:r>
    </w:p>
    <w:p w:rsidR="00BB691C" w:rsidRDefault="00BB691C" w:rsidP="00BB691C">
      <w:pPr>
        <w:tabs>
          <w:tab w:val="left" w:pos="2835"/>
        </w:tabs>
        <w:spacing w:after="0" w:line="19" w:lineRule="atLeast"/>
        <w:jc w:val="center"/>
        <w:rPr>
          <w:rFonts w:ascii="Tahoma" w:hAnsi="Tahoma" w:cs="Tahoma"/>
          <w:noProof/>
        </w:rPr>
      </w:pPr>
      <w:r w:rsidRPr="00F0298D">
        <w:rPr>
          <w:rFonts w:ascii="Tahoma" w:hAnsi="Tahoma" w:cs="Tahoma"/>
          <w:noProof/>
          <w:color w:val="92D050"/>
          <w:highlight w:val="yellow"/>
          <w:shd w:val="clear" w:color="auto" w:fill="92D050"/>
          <w:lang w:val="es-CO" w:eastAsia="es-CO"/>
        </w:rPr>
        <w:lastRenderedPageBreak/>
        <w:drawing>
          <wp:inline distT="0" distB="0" distL="0" distR="0" wp14:anchorId="4B4A467F" wp14:editId="7B7F433C">
            <wp:extent cx="5486400" cy="2910840"/>
            <wp:effectExtent l="0" t="0" r="19050" b="2286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B691C" w:rsidRDefault="00BB691C" w:rsidP="00BB691C">
      <w:pPr>
        <w:tabs>
          <w:tab w:val="left" w:pos="3924"/>
        </w:tabs>
        <w:jc w:val="center"/>
        <w:rPr>
          <w:rFonts w:ascii="Tahoma" w:hAnsi="Tahoma" w:cs="Tahoma"/>
        </w:rPr>
      </w:pPr>
      <w:r>
        <w:rPr>
          <w:rFonts w:ascii="Tahoma" w:hAnsi="Tahoma" w:cs="Tahoma"/>
        </w:rPr>
        <w:t xml:space="preserve"> </w:t>
      </w:r>
    </w:p>
    <w:p w:rsidR="00BB691C" w:rsidRPr="001D3576" w:rsidRDefault="00BB691C" w:rsidP="00BB691C">
      <w:pPr>
        <w:spacing w:after="0" w:line="19" w:lineRule="atLeast"/>
        <w:rPr>
          <w:rFonts w:ascii="Tahoma" w:hAnsi="Tahoma" w:cs="Tahoma"/>
          <w:b/>
        </w:rPr>
      </w:pPr>
      <w:r w:rsidRPr="001D3576">
        <w:rPr>
          <w:rFonts w:ascii="Tahoma" w:hAnsi="Tahoma" w:cs="Tahoma"/>
          <w:b/>
        </w:rPr>
        <w:t>2.2   ANALISIS A LA EJECUCION  PRESUPUESTAL DE  GASTOS</w:t>
      </w:r>
    </w:p>
    <w:p w:rsidR="00BB691C" w:rsidRDefault="00BB691C" w:rsidP="00BB691C">
      <w:pPr>
        <w:spacing w:after="0"/>
        <w:jc w:val="both"/>
        <w:rPr>
          <w:rFonts w:ascii="Tahoma" w:hAnsi="Tahoma" w:cs="Tahoma"/>
          <w:bCs/>
        </w:rPr>
      </w:pPr>
    </w:p>
    <w:p w:rsidR="00BB691C" w:rsidRDefault="00BB691C" w:rsidP="00BB691C">
      <w:pPr>
        <w:jc w:val="both"/>
        <w:rPr>
          <w:rFonts w:ascii="Tahoma" w:eastAsia="Times New Roman" w:hAnsi="Tahoma" w:cs="Tahoma"/>
          <w:b/>
          <w:bCs/>
        </w:rPr>
      </w:pPr>
      <w:r w:rsidRPr="005540CE">
        <w:rPr>
          <w:rFonts w:ascii="Tahoma" w:hAnsi="Tahoma" w:cs="Tahoma"/>
        </w:rPr>
        <w:t xml:space="preserve">El presupuesto </w:t>
      </w:r>
      <w:r>
        <w:rPr>
          <w:rFonts w:ascii="Tahoma" w:hAnsi="Tahoma" w:cs="Tahoma"/>
        </w:rPr>
        <w:t xml:space="preserve">de </w:t>
      </w:r>
      <w:r w:rsidR="000D4145">
        <w:rPr>
          <w:rFonts w:ascii="Tahoma" w:hAnsi="Tahoma" w:cs="Tahoma"/>
        </w:rPr>
        <w:t>Gastos</w:t>
      </w:r>
      <w:r w:rsidR="00F0298D">
        <w:rPr>
          <w:rFonts w:ascii="Tahoma" w:hAnsi="Tahoma" w:cs="Tahoma"/>
        </w:rPr>
        <w:t xml:space="preserve"> del Municipio de </w:t>
      </w:r>
      <w:r w:rsidR="005A555A">
        <w:rPr>
          <w:rFonts w:ascii="Tahoma" w:hAnsi="Tahoma" w:cs="Tahoma"/>
        </w:rPr>
        <w:t xml:space="preserve">Herveo </w:t>
      </w:r>
      <w:r>
        <w:rPr>
          <w:rFonts w:ascii="Tahoma" w:hAnsi="Tahoma" w:cs="Tahoma"/>
        </w:rPr>
        <w:t xml:space="preserve">para la vigencia fiscal 2015 fue </w:t>
      </w:r>
      <w:r w:rsidR="00F603D9">
        <w:rPr>
          <w:rFonts w:ascii="Tahoma" w:hAnsi="Tahoma" w:cs="Tahoma"/>
        </w:rPr>
        <w:t>de</w:t>
      </w:r>
      <w:r>
        <w:rPr>
          <w:rFonts w:ascii="Tahoma" w:hAnsi="Tahoma" w:cs="Tahoma"/>
        </w:rPr>
        <w:t xml:space="preserve"> </w:t>
      </w:r>
      <w:r w:rsidRPr="00174ED6">
        <w:rPr>
          <w:rFonts w:ascii="Tahoma" w:hAnsi="Tahoma" w:cs="Tahoma"/>
          <w:b/>
        </w:rPr>
        <w:t>$</w:t>
      </w:r>
      <w:r w:rsidR="0077360A" w:rsidRPr="0077360A">
        <w:rPr>
          <w:rFonts w:ascii="Tahoma" w:hAnsi="Tahoma" w:cs="Tahoma"/>
          <w:b/>
        </w:rPr>
        <w:t>5.617.203.145</w:t>
      </w:r>
      <w:r w:rsidR="0077360A">
        <w:rPr>
          <w:rFonts w:ascii="Tahoma" w:hAnsi="Tahoma" w:cs="Tahoma"/>
          <w:b/>
        </w:rPr>
        <w:t>.</w:t>
      </w:r>
      <w:r>
        <w:rPr>
          <w:rFonts w:ascii="Tahoma" w:hAnsi="Tahoma" w:cs="Tahoma"/>
          <w:b/>
        </w:rPr>
        <w:t xml:space="preserve">oo, </w:t>
      </w:r>
      <w:r w:rsidRPr="00DA6502">
        <w:rPr>
          <w:rFonts w:ascii="Tahoma" w:hAnsi="Tahoma" w:cs="Tahoma"/>
        </w:rPr>
        <w:t>presentó adiciones</w:t>
      </w:r>
      <w:r>
        <w:rPr>
          <w:rFonts w:ascii="Tahoma" w:hAnsi="Tahoma" w:cs="Tahoma"/>
        </w:rPr>
        <w:t xml:space="preserve"> presupuestales por</w:t>
      </w:r>
      <w:r w:rsidRPr="00DA6502">
        <w:rPr>
          <w:rFonts w:ascii="Tahoma" w:hAnsi="Tahoma" w:cs="Tahoma"/>
        </w:rPr>
        <w:t xml:space="preserve"> </w:t>
      </w:r>
      <w:r w:rsidRPr="00231ECA">
        <w:rPr>
          <w:rFonts w:ascii="Tahoma" w:hAnsi="Tahoma" w:cs="Tahoma"/>
          <w:b/>
        </w:rPr>
        <w:t>$</w:t>
      </w:r>
      <w:r w:rsidR="0077360A" w:rsidRPr="0077360A">
        <w:rPr>
          <w:rFonts w:ascii="Tahoma" w:hAnsi="Tahoma" w:cs="Tahoma"/>
          <w:b/>
        </w:rPr>
        <w:t>6.287.340.532</w:t>
      </w:r>
      <w:r>
        <w:rPr>
          <w:rFonts w:ascii="Tahoma" w:hAnsi="Tahoma" w:cs="Tahoma"/>
          <w:b/>
        </w:rPr>
        <w:t>.oo</w:t>
      </w:r>
      <w:r w:rsidRPr="00CA669B">
        <w:rPr>
          <w:rFonts w:ascii="Tahoma" w:hAnsi="Tahoma" w:cs="Tahoma"/>
          <w:b/>
        </w:rPr>
        <w:t>,</w:t>
      </w:r>
      <w:r>
        <w:rPr>
          <w:rFonts w:ascii="Tahoma" w:hAnsi="Tahoma" w:cs="Tahoma"/>
          <w:b/>
        </w:rPr>
        <w:t xml:space="preserve"> </w:t>
      </w:r>
      <w:r>
        <w:rPr>
          <w:rFonts w:ascii="Tahoma" w:eastAsia="Times New Roman" w:hAnsi="Tahoma" w:cs="Tahoma"/>
          <w:bCs/>
        </w:rPr>
        <w:t xml:space="preserve">y reducciones por </w:t>
      </w:r>
      <w:r w:rsidRPr="00B26183">
        <w:rPr>
          <w:rFonts w:ascii="Tahoma" w:eastAsia="Times New Roman" w:hAnsi="Tahoma" w:cs="Tahoma"/>
          <w:b/>
          <w:bCs/>
        </w:rPr>
        <w:t>$</w:t>
      </w:r>
      <w:r w:rsidR="0077360A" w:rsidRPr="0077360A">
        <w:rPr>
          <w:rFonts w:ascii="Tahoma" w:eastAsia="Times New Roman" w:hAnsi="Tahoma" w:cs="Tahoma"/>
          <w:b/>
          <w:bCs/>
        </w:rPr>
        <w:t>339.287.485</w:t>
      </w:r>
      <w:r w:rsidRPr="00B26183">
        <w:rPr>
          <w:rFonts w:ascii="Tahoma" w:eastAsia="Times New Roman" w:hAnsi="Tahoma" w:cs="Tahoma"/>
          <w:b/>
          <w:bCs/>
        </w:rPr>
        <w:t>.oo</w:t>
      </w:r>
      <w:r>
        <w:rPr>
          <w:rFonts w:ascii="Tahoma" w:eastAsia="Times New Roman" w:hAnsi="Tahoma" w:cs="Tahoma"/>
          <w:bCs/>
        </w:rPr>
        <w:t xml:space="preserve">, para un presupuesto definitivo a Diciembre 31 de 2015 de </w:t>
      </w:r>
      <w:r w:rsidRPr="00B26183">
        <w:rPr>
          <w:rFonts w:ascii="Tahoma" w:eastAsia="Times New Roman" w:hAnsi="Tahoma" w:cs="Tahoma"/>
          <w:b/>
          <w:bCs/>
        </w:rPr>
        <w:t>$</w:t>
      </w:r>
      <w:r w:rsidR="0077360A" w:rsidRPr="0077360A">
        <w:rPr>
          <w:rFonts w:ascii="Tahoma" w:eastAsia="Times New Roman" w:hAnsi="Tahoma" w:cs="Tahoma"/>
          <w:b/>
          <w:bCs/>
        </w:rPr>
        <w:t>11.565.256.192</w:t>
      </w:r>
      <w:r>
        <w:rPr>
          <w:rFonts w:ascii="Tahoma" w:eastAsia="Times New Roman" w:hAnsi="Tahoma" w:cs="Tahoma"/>
          <w:b/>
          <w:bCs/>
        </w:rPr>
        <w:t>.oo.</w:t>
      </w:r>
    </w:p>
    <w:p w:rsidR="00BB691C" w:rsidRDefault="00BB691C" w:rsidP="00BB691C">
      <w:pPr>
        <w:tabs>
          <w:tab w:val="left" w:pos="2835"/>
        </w:tabs>
        <w:spacing w:after="0" w:line="19" w:lineRule="atLeast"/>
        <w:jc w:val="both"/>
        <w:rPr>
          <w:rFonts w:ascii="Tahoma" w:eastAsia="Times New Roman" w:hAnsi="Tahoma" w:cs="Tahoma"/>
          <w:b/>
          <w:bCs/>
        </w:rPr>
      </w:pPr>
    </w:p>
    <w:tbl>
      <w:tblPr>
        <w:tblStyle w:val="Sombreadoclaro-nfasis1"/>
        <w:tblW w:w="9057" w:type="dxa"/>
        <w:tblLayout w:type="fixed"/>
        <w:tblLook w:val="04A0" w:firstRow="1" w:lastRow="0" w:firstColumn="1" w:lastColumn="0" w:noHBand="0" w:noVBand="1"/>
      </w:tblPr>
      <w:tblGrid>
        <w:gridCol w:w="2376"/>
        <w:gridCol w:w="2127"/>
        <w:gridCol w:w="1984"/>
        <w:gridCol w:w="2570"/>
      </w:tblGrid>
      <w:tr w:rsidR="00BB691C" w:rsidRPr="00BA1DE4" w:rsidTr="00AD779D">
        <w:trPr>
          <w:cnfStyle w:val="100000000000" w:firstRow="1" w:lastRow="0" w:firstColumn="0" w:lastColumn="0" w:oddVBand="0" w:evenVBand="0" w:oddHBand="0"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2376" w:type="dxa"/>
          </w:tcPr>
          <w:p w:rsidR="00BB691C" w:rsidRPr="00AD779D" w:rsidRDefault="00BB691C" w:rsidP="008E2B71">
            <w:pPr>
              <w:tabs>
                <w:tab w:val="left" w:pos="2835"/>
              </w:tabs>
              <w:spacing w:line="19" w:lineRule="atLeast"/>
              <w:jc w:val="center"/>
              <w:rPr>
                <w:rFonts w:ascii="Tahoma" w:eastAsia="Times New Roman" w:hAnsi="Tahoma" w:cs="Tahoma"/>
                <w:bCs w:val="0"/>
                <w:color w:val="auto"/>
                <w:sz w:val="20"/>
                <w:szCs w:val="20"/>
              </w:rPr>
            </w:pPr>
            <w:r w:rsidRPr="00AD779D">
              <w:rPr>
                <w:rFonts w:ascii="Tahoma" w:eastAsia="Times New Roman" w:hAnsi="Tahoma" w:cs="Tahoma"/>
                <w:color w:val="auto"/>
                <w:sz w:val="20"/>
                <w:szCs w:val="20"/>
              </w:rPr>
              <w:t>PRESUPUESTO INICIAL</w:t>
            </w:r>
          </w:p>
        </w:tc>
        <w:tc>
          <w:tcPr>
            <w:tcW w:w="2127" w:type="dxa"/>
          </w:tcPr>
          <w:p w:rsidR="00BB691C" w:rsidRPr="00AD779D" w:rsidRDefault="00BB691C" w:rsidP="008E2B71">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sz w:val="20"/>
                <w:szCs w:val="20"/>
              </w:rPr>
            </w:pPr>
            <w:r w:rsidRPr="00AD779D">
              <w:rPr>
                <w:rFonts w:ascii="Tahoma" w:eastAsia="Times New Roman" w:hAnsi="Tahoma" w:cs="Tahoma"/>
                <w:color w:val="auto"/>
                <w:sz w:val="20"/>
                <w:szCs w:val="20"/>
              </w:rPr>
              <w:t>ADICIONES</w:t>
            </w:r>
          </w:p>
        </w:tc>
        <w:tc>
          <w:tcPr>
            <w:tcW w:w="1984" w:type="dxa"/>
          </w:tcPr>
          <w:p w:rsidR="00BB691C" w:rsidRPr="00AD779D" w:rsidRDefault="00BB691C" w:rsidP="008E2B71">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sz w:val="20"/>
                <w:szCs w:val="20"/>
              </w:rPr>
            </w:pPr>
            <w:r w:rsidRPr="00AD779D">
              <w:rPr>
                <w:rFonts w:ascii="Tahoma" w:eastAsia="Times New Roman" w:hAnsi="Tahoma" w:cs="Tahoma"/>
                <w:color w:val="auto"/>
                <w:sz w:val="20"/>
                <w:szCs w:val="20"/>
              </w:rPr>
              <w:t>REDUCCIONES</w:t>
            </w:r>
          </w:p>
        </w:tc>
        <w:tc>
          <w:tcPr>
            <w:tcW w:w="2570" w:type="dxa"/>
          </w:tcPr>
          <w:p w:rsidR="00BB691C" w:rsidRPr="00AD779D" w:rsidRDefault="00BB691C" w:rsidP="008E2B71">
            <w:pPr>
              <w:tabs>
                <w:tab w:val="left" w:pos="2835"/>
              </w:tabs>
              <w:spacing w:line="19" w:lineRule="atLeast"/>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Cs w:val="0"/>
                <w:color w:val="auto"/>
                <w:sz w:val="20"/>
                <w:szCs w:val="20"/>
              </w:rPr>
            </w:pPr>
            <w:r w:rsidRPr="00AD779D">
              <w:rPr>
                <w:rFonts w:ascii="Tahoma" w:eastAsia="Times New Roman" w:hAnsi="Tahoma" w:cs="Tahoma"/>
                <w:color w:val="auto"/>
                <w:sz w:val="20"/>
                <w:szCs w:val="20"/>
              </w:rPr>
              <w:t>PRESUPUESTO DEFINITIVO</w:t>
            </w:r>
          </w:p>
        </w:tc>
      </w:tr>
      <w:tr w:rsidR="00BB691C" w:rsidRPr="00BA1DE4" w:rsidTr="00AD779D">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376" w:type="dxa"/>
          </w:tcPr>
          <w:p w:rsidR="00BB691C" w:rsidRPr="008A4913" w:rsidRDefault="00BB691C" w:rsidP="0077360A">
            <w:pPr>
              <w:tabs>
                <w:tab w:val="left" w:pos="2835"/>
              </w:tabs>
              <w:spacing w:line="19" w:lineRule="atLeast"/>
              <w:jc w:val="center"/>
              <w:rPr>
                <w:rFonts w:ascii="Tahoma" w:eastAsia="Times New Roman" w:hAnsi="Tahoma" w:cs="Tahoma"/>
                <w:b w:val="0"/>
                <w:bCs w:val="0"/>
                <w:color w:val="auto"/>
                <w:sz w:val="20"/>
                <w:szCs w:val="20"/>
                <w:vertAlign w:val="subscript"/>
              </w:rPr>
            </w:pPr>
            <w:r w:rsidRPr="008A4913">
              <w:rPr>
                <w:rFonts w:ascii="Tahoma" w:hAnsi="Tahoma" w:cs="Tahoma"/>
                <w:b w:val="0"/>
                <w:color w:val="auto"/>
              </w:rPr>
              <w:t>$</w:t>
            </w:r>
            <w:r w:rsidR="0077360A" w:rsidRPr="0077360A">
              <w:rPr>
                <w:rFonts w:ascii="Tahoma" w:hAnsi="Tahoma" w:cs="Tahoma"/>
                <w:b w:val="0"/>
                <w:color w:val="auto"/>
              </w:rPr>
              <w:t>5.617.203.145</w:t>
            </w:r>
            <w:r w:rsidRPr="008A4913">
              <w:rPr>
                <w:rFonts w:ascii="Tahoma" w:hAnsi="Tahoma" w:cs="Tahoma"/>
                <w:b w:val="0"/>
                <w:color w:val="auto"/>
              </w:rPr>
              <w:t>.oo,</w:t>
            </w:r>
          </w:p>
        </w:tc>
        <w:tc>
          <w:tcPr>
            <w:tcW w:w="2127" w:type="dxa"/>
          </w:tcPr>
          <w:p w:rsidR="00BB691C" w:rsidRPr="008A4913" w:rsidRDefault="00BB691C" w:rsidP="0077360A">
            <w:pPr>
              <w:tabs>
                <w:tab w:val="left" w:pos="2835"/>
              </w:tabs>
              <w:spacing w:line="19" w:lineRule="atLeast"/>
              <w:jc w:val="cente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Cs/>
                <w:color w:val="auto"/>
                <w:sz w:val="20"/>
                <w:szCs w:val="20"/>
                <w:vertAlign w:val="subscript"/>
              </w:rPr>
            </w:pPr>
            <w:r w:rsidRPr="008A4913">
              <w:rPr>
                <w:rFonts w:ascii="Tahoma" w:hAnsi="Tahoma" w:cs="Tahoma"/>
                <w:color w:val="auto"/>
              </w:rPr>
              <w:t>$</w:t>
            </w:r>
            <w:r w:rsidR="0077360A" w:rsidRPr="0077360A">
              <w:rPr>
                <w:rFonts w:ascii="Tahoma" w:hAnsi="Tahoma" w:cs="Tahoma"/>
                <w:color w:val="auto"/>
              </w:rPr>
              <w:t>6.287.340.532</w:t>
            </w:r>
            <w:r w:rsidRPr="008A4913">
              <w:rPr>
                <w:rFonts w:ascii="Tahoma" w:hAnsi="Tahoma" w:cs="Tahoma"/>
                <w:color w:val="auto"/>
              </w:rPr>
              <w:t>.oo</w:t>
            </w:r>
          </w:p>
        </w:tc>
        <w:tc>
          <w:tcPr>
            <w:tcW w:w="1984" w:type="dxa"/>
          </w:tcPr>
          <w:p w:rsidR="00BB691C" w:rsidRPr="008A4913" w:rsidRDefault="00BB691C" w:rsidP="0077360A">
            <w:pPr>
              <w:tabs>
                <w:tab w:val="left" w:pos="2835"/>
              </w:tabs>
              <w:spacing w:line="19" w:lineRule="atLeast"/>
              <w:jc w:val="cente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Cs/>
                <w:color w:val="auto"/>
                <w:sz w:val="20"/>
                <w:szCs w:val="20"/>
                <w:vertAlign w:val="subscript"/>
              </w:rPr>
            </w:pPr>
            <w:r w:rsidRPr="008A4913">
              <w:rPr>
                <w:rFonts w:ascii="Tahoma" w:eastAsia="Times New Roman" w:hAnsi="Tahoma" w:cs="Tahoma"/>
                <w:bCs/>
                <w:color w:val="auto"/>
              </w:rPr>
              <w:t>$</w:t>
            </w:r>
            <w:r w:rsidR="0077360A" w:rsidRPr="0077360A">
              <w:rPr>
                <w:rFonts w:ascii="Tahoma" w:eastAsia="Times New Roman" w:hAnsi="Tahoma" w:cs="Tahoma"/>
                <w:bCs/>
                <w:color w:val="auto"/>
              </w:rPr>
              <w:t>339.287.485</w:t>
            </w:r>
            <w:r w:rsidRPr="008A4913">
              <w:rPr>
                <w:rFonts w:ascii="Tahoma" w:eastAsia="Times New Roman" w:hAnsi="Tahoma" w:cs="Tahoma"/>
                <w:bCs/>
                <w:color w:val="auto"/>
              </w:rPr>
              <w:t>.oo</w:t>
            </w:r>
          </w:p>
        </w:tc>
        <w:tc>
          <w:tcPr>
            <w:tcW w:w="2570" w:type="dxa"/>
          </w:tcPr>
          <w:p w:rsidR="00BB691C" w:rsidRPr="008A4913" w:rsidRDefault="00BB691C" w:rsidP="0077360A">
            <w:pPr>
              <w:tabs>
                <w:tab w:val="left" w:pos="2835"/>
              </w:tabs>
              <w:spacing w:line="19" w:lineRule="atLeast"/>
              <w:jc w:val="cente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Cs/>
                <w:color w:val="auto"/>
                <w:sz w:val="20"/>
                <w:szCs w:val="20"/>
                <w:vertAlign w:val="subscript"/>
              </w:rPr>
            </w:pPr>
            <w:r w:rsidRPr="008A4913">
              <w:rPr>
                <w:rFonts w:ascii="Tahoma" w:eastAsia="Times New Roman" w:hAnsi="Tahoma" w:cs="Tahoma"/>
                <w:bCs/>
                <w:color w:val="auto"/>
              </w:rPr>
              <w:t>$</w:t>
            </w:r>
            <w:r w:rsidR="0077360A" w:rsidRPr="0077360A">
              <w:rPr>
                <w:rFonts w:ascii="Tahoma" w:eastAsia="Times New Roman" w:hAnsi="Tahoma" w:cs="Tahoma"/>
                <w:bCs/>
                <w:color w:val="auto"/>
              </w:rPr>
              <w:t>11.565.256.192</w:t>
            </w:r>
            <w:r w:rsidRPr="008A4913">
              <w:rPr>
                <w:rFonts w:ascii="Tahoma" w:eastAsia="Times New Roman" w:hAnsi="Tahoma" w:cs="Tahoma"/>
                <w:bCs/>
                <w:color w:val="auto"/>
              </w:rPr>
              <w:t>.oo</w:t>
            </w:r>
          </w:p>
        </w:tc>
      </w:tr>
    </w:tbl>
    <w:p w:rsidR="00BB691C" w:rsidRPr="00256F6A" w:rsidRDefault="00BB691C" w:rsidP="00BB691C">
      <w:pPr>
        <w:tabs>
          <w:tab w:val="left" w:pos="2835"/>
        </w:tabs>
        <w:spacing w:after="0" w:line="19" w:lineRule="atLeast"/>
        <w:jc w:val="both"/>
        <w:rPr>
          <w:rFonts w:ascii="Tahoma" w:eastAsia="Times New Roman" w:hAnsi="Tahoma" w:cs="Tahoma"/>
          <w:bCs/>
          <w:vertAlign w:val="subscript"/>
        </w:rPr>
      </w:pPr>
      <w:r w:rsidRPr="00256F6A">
        <w:rPr>
          <w:rFonts w:ascii="Tahoma" w:eastAsia="Times New Roman" w:hAnsi="Tahoma" w:cs="Tahoma"/>
          <w:bCs/>
          <w:vertAlign w:val="subscript"/>
        </w:rPr>
        <w:t>Información tomada de la ejecución presupuestal del Municipio</w:t>
      </w:r>
      <w:r>
        <w:rPr>
          <w:rFonts w:ascii="Tahoma" w:eastAsia="Times New Roman" w:hAnsi="Tahoma" w:cs="Tahoma"/>
          <w:bCs/>
          <w:vertAlign w:val="subscript"/>
        </w:rPr>
        <w:t xml:space="preserve"> vigencia 2015</w:t>
      </w:r>
    </w:p>
    <w:p w:rsidR="00BB691C" w:rsidRDefault="00BB691C" w:rsidP="00BB691C">
      <w:pPr>
        <w:tabs>
          <w:tab w:val="left" w:pos="4760"/>
          <w:tab w:val="left" w:pos="6013"/>
          <w:tab w:val="left" w:pos="6693"/>
        </w:tabs>
        <w:spacing w:after="0" w:line="19" w:lineRule="atLeast"/>
        <w:jc w:val="both"/>
        <w:rPr>
          <w:rFonts w:ascii="Tahoma" w:eastAsia="Times New Roman" w:hAnsi="Tahoma" w:cs="Tahoma"/>
          <w:bCs/>
        </w:rPr>
      </w:pPr>
    </w:p>
    <w:p w:rsidR="00BB691C" w:rsidRDefault="00BB691C" w:rsidP="00BB691C">
      <w:pPr>
        <w:tabs>
          <w:tab w:val="left" w:pos="4760"/>
          <w:tab w:val="left" w:pos="6013"/>
          <w:tab w:val="left" w:pos="6693"/>
        </w:tabs>
        <w:spacing w:after="0" w:line="19" w:lineRule="atLeast"/>
        <w:jc w:val="both"/>
        <w:rPr>
          <w:rFonts w:ascii="Tahoma" w:eastAsia="Times New Roman" w:hAnsi="Tahoma" w:cs="Tahoma"/>
          <w:bCs/>
        </w:rPr>
      </w:pPr>
    </w:p>
    <w:p w:rsidR="00BB691C" w:rsidRDefault="00BB691C" w:rsidP="00BB691C">
      <w:pPr>
        <w:spacing w:after="0"/>
        <w:rPr>
          <w:rFonts w:ascii="Tahoma" w:hAnsi="Tahoma" w:cs="Tahoma"/>
          <w:b/>
          <w:bCs/>
        </w:rPr>
      </w:pPr>
      <w:r w:rsidRPr="005A1AE4">
        <w:rPr>
          <w:rFonts w:ascii="Tahoma" w:hAnsi="Tahoma" w:cs="Tahoma"/>
          <w:b/>
          <w:bCs/>
        </w:rPr>
        <w:t xml:space="preserve">PRESUPUESTO INICIAL    </w:t>
      </w:r>
    </w:p>
    <w:p w:rsidR="00BB691C" w:rsidRPr="002510E7" w:rsidRDefault="00BB691C" w:rsidP="00BB691C">
      <w:pPr>
        <w:spacing w:after="0"/>
        <w:rPr>
          <w:rFonts w:ascii="Tahoma" w:hAnsi="Tahoma" w:cs="Tahoma"/>
          <w:b/>
          <w:bCs/>
          <w:sz w:val="16"/>
        </w:rPr>
      </w:pPr>
    </w:p>
    <w:p w:rsidR="00BB691C" w:rsidRDefault="00BB691C" w:rsidP="00BB691C">
      <w:pPr>
        <w:spacing w:after="0"/>
        <w:jc w:val="both"/>
        <w:rPr>
          <w:rFonts w:ascii="Tahoma" w:hAnsi="Tahoma" w:cs="Tahoma"/>
        </w:rPr>
      </w:pPr>
      <w:r w:rsidRPr="00C32B9A">
        <w:rPr>
          <w:rFonts w:ascii="Tahoma" w:hAnsi="Tahoma" w:cs="Tahoma"/>
        </w:rPr>
        <w:t>El presupuesto de Gastos para la vigencia 2015 del Municipio  de</w:t>
      </w:r>
      <w:r w:rsidR="005A555A" w:rsidRPr="005A555A">
        <w:rPr>
          <w:rFonts w:ascii="Tahoma" w:hAnsi="Tahoma" w:cs="Tahoma"/>
        </w:rPr>
        <w:t xml:space="preserve"> </w:t>
      </w:r>
      <w:r w:rsidR="005A555A">
        <w:rPr>
          <w:rFonts w:ascii="Tahoma" w:hAnsi="Tahoma" w:cs="Tahoma"/>
        </w:rPr>
        <w:t>Herveo</w:t>
      </w:r>
      <w:r w:rsidRPr="00C32B9A">
        <w:rPr>
          <w:rFonts w:ascii="Tahoma" w:hAnsi="Tahoma" w:cs="Tahoma"/>
        </w:rPr>
        <w:t>, fue de $</w:t>
      </w:r>
      <w:r w:rsidR="0018453D">
        <w:rPr>
          <w:rFonts w:ascii="Tahoma" w:hAnsi="Tahoma" w:cs="Tahoma"/>
        </w:rPr>
        <w:t>5.617</w:t>
      </w:r>
      <w:r w:rsidR="008A4913">
        <w:rPr>
          <w:rFonts w:ascii="Tahoma" w:hAnsi="Tahoma" w:cs="Tahoma"/>
        </w:rPr>
        <w:t xml:space="preserve"> </w:t>
      </w:r>
      <w:r>
        <w:rPr>
          <w:rFonts w:ascii="Tahoma" w:hAnsi="Tahoma" w:cs="Tahoma"/>
        </w:rPr>
        <w:t xml:space="preserve"> millones</w:t>
      </w:r>
      <w:r w:rsidRPr="00C32B9A">
        <w:rPr>
          <w:rFonts w:ascii="Tahoma" w:hAnsi="Tahoma" w:cs="Tahoma"/>
        </w:rPr>
        <w:t>, de los cuales $</w:t>
      </w:r>
      <w:r w:rsidR="0018453D">
        <w:rPr>
          <w:rFonts w:ascii="Tahoma" w:hAnsi="Tahoma" w:cs="Tahoma"/>
        </w:rPr>
        <w:t xml:space="preserve">1.011 </w:t>
      </w:r>
      <w:r>
        <w:rPr>
          <w:rFonts w:ascii="Tahoma" w:hAnsi="Tahoma" w:cs="Tahoma"/>
        </w:rPr>
        <w:t>millones</w:t>
      </w:r>
      <w:r w:rsidRPr="00C32B9A">
        <w:rPr>
          <w:rFonts w:ascii="Tahoma" w:hAnsi="Tahoma" w:cs="Tahoma"/>
        </w:rPr>
        <w:t xml:space="preserve"> correspondieron a Gastos de funcionamiento, es decir un </w:t>
      </w:r>
      <w:r w:rsidR="0018453D">
        <w:rPr>
          <w:rFonts w:ascii="Tahoma" w:hAnsi="Tahoma" w:cs="Tahoma"/>
        </w:rPr>
        <w:t>18.01</w:t>
      </w:r>
      <w:r w:rsidR="00C9051A">
        <w:rPr>
          <w:rFonts w:ascii="Tahoma" w:hAnsi="Tahoma" w:cs="Tahoma"/>
        </w:rPr>
        <w:t>%</w:t>
      </w:r>
      <w:r w:rsidR="0018453D">
        <w:rPr>
          <w:rFonts w:ascii="Tahoma" w:hAnsi="Tahoma" w:cs="Tahoma"/>
        </w:rPr>
        <w:t xml:space="preserve"> </w:t>
      </w:r>
      <w:r w:rsidRPr="00C32B9A">
        <w:rPr>
          <w:rFonts w:ascii="Tahoma" w:hAnsi="Tahoma" w:cs="Tahoma"/>
        </w:rPr>
        <w:t>y Gastos de Inversión</w:t>
      </w:r>
      <w:r w:rsidR="0018453D">
        <w:rPr>
          <w:rFonts w:ascii="Tahoma" w:hAnsi="Tahoma" w:cs="Tahoma"/>
        </w:rPr>
        <w:t xml:space="preserve"> $4.579 </w:t>
      </w:r>
      <w:r w:rsidR="008A4913">
        <w:rPr>
          <w:rFonts w:ascii="Tahoma" w:hAnsi="Tahoma" w:cs="Tahoma"/>
        </w:rPr>
        <w:t>mil</w:t>
      </w:r>
      <w:r w:rsidR="0018453D">
        <w:rPr>
          <w:rFonts w:ascii="Tahoma" w:hAnsi="Tahoma" w:cs="Tahoma"/>
        </w:rPr>
        <w:t>lones con un 81.99</w:t>
      </w:r>
      <w:r w:rsidRPr="00C32B9A">
        <w:rPr>
          <w:rFonts w:ascii="Tahoma" w:hAnsi="Tahoma" w:cs="Tahoma"/>
        </w:rPr>
        <w:t>%.</w:t>
      </w:r>
      <w:r>
        <w:rPr>
          <w:rFonts w:ascii="Tahoma" w:hAnsi="Tahoma" w:cs="Tahoma"/>
        </w:rPr>
        <w:t xml:space="preserve">  Ver gráfico.</w:t>
      </w:r>
    </w:p>
    <w:p w:rsidR="00BB691C" w:rsidRDefault="00BB691C" w:rsidP="00BB691C">
      <w:pPr>
        <w:spacing w:after="0"/>
        <w:jc w:val="both"/>
        <w:rPr>
          <w:rFonts w:ascii="Tahoma" w:hAnsi="Tahoma" w:cs="Tahoma"/>
        </w:rPr>
      </w:pPr>
    </w:p>
    <w:p w:rsidR="00BB691C" w:rsidRPr="00C32B9A" w:rsidRDefault="00BB691C" w:rsidP="00BB691C">
      <w:pPr>
        <w:spacing w:after="0"/>
        <w:jc w:val="both"/>
        <w:rPr>
          <w:rFonts w:ascii="Tahoma" w:hAnsi="Tahoma" w:cs="Tahoma"/>
        </w:rPr>
      </w:pPr>
      <w:r>
        <w:rPr>
          <w:rFonts w:ascii="Tahoma" w:hAnsi="Tahoma" w:cs="Tahoma"/>
          <w:noProof/>
          <w:lang w:val="es-CO" w:eastAsia="es-CO"/>
        </w:rPr>
        <w:lastRenderedPageBreak/>
        <w:drawing>
          <wp:inline distT="0" distB="0" distL="0" distR="0" wp14:anchorId="06740FAB" wp14:editId="2D89D7D5">
            <wp:extent cx="5486400" cy="2815200"/>
            <wp:effectExtent l="0" t="0" r="19050" b="2349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B691C" w:rsidRDefault="00BB691C" w:rsidP="00BB691C">
      <w:pPr>
        <w:spacing w:after="0"/>
        <w:jc w:val="both"/>
        <w:rPr>
          <w:rFonts w:ascii="Tahoma" w:hAnsi="Tahoma" w:cs="Tahoma"/>
        </w:rPr>
      </w:pPr>
      <w:r>
        <w:rPr>
          <w:rFonts w:ascii="Tahoma" w:hAnsi="Tahoma" w:cs="Tahoma"/>
        </w:rPr>
        <w:t xml:space="preserve"> </w:t>
      </w:r>
    </w:p>
    <w:p w:rsidR="00BB691C" w:rsidRDefault="00BB691C" w:rsidP="00BB691C">
      <w:pPr>
        <w:spacing w:after="0"/>
        <w:jc w:val="both"/>
        <w:rPr>
          <w:rFonts w:ascii="Tahoma" w:hAnsi="Tahoma" w:cs="Tahoma"/>
        </w:rPr>
      </w:pPr>
      <w:r w:rsidRPr="00E255C8">
        <w:rPr>
          <w:rFonts w:ascii="Tahoma" w:hAnsi="Tahoma" w:cs="Tahoma"/>
          <w:b/>
        </w:rPr>
        <w:t>Los Gastos de Funcionamiento</w:t>
      </w:r>
      <w:r>
        <w:rPr>
          <w:rFonts w:ascii="Tahoma" w:hAnsi="Tahoma" w:cs="Tahoma"/>
        </w:rPr>
        <w:t xml:space="preserve"> se subdividieron</w:t>
      </w:r>
      <w:r w:rsidR="00F56F05">
        <w:rPr>
          <w:rFonts w:ascii="Tahoma" w:hAnsi="Tahoma" w:cs="Tahoma"/>
        </w:rPr>
        <w:t xml:space="preserve"> </w:t>
      </w:r>
      <w:r w:rsidR="0028275A">
        <w:rPr>
          <w:rFonts w:ascii="Tahoma" w:hAnsi="Tahoma" w:cs="Tahoma"/>
        </w:rPr>
        <w:t>en Servicios Personales con $568 millones, es decir con un 10.13</w:t>
      </w:r>
      <w:r w:rsidRPr="003539AE">
        <w:rPr>
          <w:rFonts w:ascii="Tahoma" w:hAnsi="Tahoma" w:cs="Tahoma"/>
        </w:rPr>
        <w:t>%</w:t>
      </w:r>
      <w:r>
        <w:rPr>
          <w:rFonts w:ascii="Tahoma" w:hAnsi="Tahoma" w:cs="Tahoma"/>
        </w:rPr>
        <w:t>, Transferencias</w:t>
      </w:r>
      <w:r w:rsidRPr="003539AE">
        <w:rPr>
          <w:rFonts w:ascii="Tahoma" w:hAnsi="Tahoma" w:cs="Tahoma"/>
        </w:rPr>
        <w:t xml:space="preserve"> $</w:t>
      </w:r>
      <w:r w:rsidR="0028275A">
        <w:rPr>
          <w:rFonts w:ascii="Tahoma" w:hAnsi="Tahoma" w:cs="Tahoma"/>
        </w:rPr>
        <w:t>117</w:t>
      </w:r>
      <w:r w:rsidRPr="003539AE">
        <w:rPr>
          <w:rFonts w:ascii="Tahoma" w:hAnsi="Tahoma" w:cs="Tahoma"/>
        </w:rPr>
        <w:t xml:space="preserve"> millones</w:t>
      </w:r>
      <w:r>
        <w:rPr>
          <w:rFonts w:ascii="Tahoma" w:hAnsi="Tahoma" w:cs="Tahoma"/>
        </w:rPr>
        <w:t>,</w:t>
      </w:r>
      <w:r w:rsidRPr="003539AE">
        <w:rPr>
          <w:rFonts w:ascii="Tahoma" w:hAnsi="Tahoma" w:cs="Tahoma"/>
        </w:rPr>
        <w:t xml:space="preserve"> </w:t>
      </w:r>
      <w:r>
        <w:rPr>
          <w:rFonts w:ascii="Tahoma" w:hAnsi="Tahoma" w:cs="Tahoma"/>
        </w:rPr>
        <w:t xml:space="preserve">con </w:t>
      </w:r>
      <w:r w:rsidRPr="003539AE">
        <w:rPr>
          <w:rFonts w:ascii="Tahoma" w:hAnsi="Tahoma" w:cs="Tahoma"/>
        </w:rPr>
        <w:t xml:space="preserve">un </w:t>
      </w:r>
      <w:r w:rsidR="0028275A">
        <w:rPr>
          <w:rFonts w:ascii="Tahoma" w:hAnsi="Tahoma" w:cs="Tahoma"/>
        </w:rPr>
        <w:t>2.1</w:t>
      </w:r>
      <w:r w:rsidRPr="003539AE">
        <w:rPr>
          <w:rFonts w:ascii="Tahoma" w:hAnsi="Tahoma" w:cs="Tahoma"/>
        </w:rPr>
        <w:t>%,  Gastos Generales $</w:t>
      </w:r>
      <w:r w:rsidR="0028275A">
        <w:rPr>
          <w:rFonts w:ascii="Tahoma" w:hAnsi="Tahoma" w:cs="Tahoma"/>
        </w:rPr>
        <w:t>122</w:t>
      </w:r>
      <w:r w:rsidRPr="003539AE">
        <w:rPr>
          <w:rFonts w:ascii="Tahoma" w:hAnsi="Tahoma" w:cs="Tahoma"/>
        </w:rPr>
        <w:t xml:space="preserve"> millones con un </w:t>
      </w:r>
      <w:r w:rsidR="0028275A">
        <w:rPr>
          <w:rFonts w:ascii="Tahoma" w:hAnsi="Tahoma" w:cs="Tahoma"/>
        </w:rPr>
        <w:t>2.19</w:t>
      </w:r>
      <w:r>
        <w:rPr>
          <w:rFonts w:ascii="Tahoma" w:hAnsi="Tahoma" w:cs="Tahoma"/>
        </w:rPr>
        <w:t>%.</w:t>
      </w:r>
    </w:p>
    <w:p w:rsidR="00BB691C" w:rsidRDefault="00BB691C" w:rsidP="00BB691C">
      <w:pPr>
        <w:spacing w:after="0"/>
        <w:jc w:val="both"/>
        <w:rPr>
          <w:rFonts w:ascii="Tahoma" w:hAnsi="Tahoma" w:cs="Tahoma"/>
        </w:rPr>
      </w:pPr>
      <w:r w:rsidRPr="003539AE">
        <w:rPr>
          <w:rFonts w:ascii="Tahoma" w:hAnsi="Tahoma" w:cs="Tahoma"/>
        </w:rPr>
        <w:tab/>
      </w:r>
    </w:p>
    <w:p w:rsidR="00BB691C" w:rsidRDefault="00BB691C" w:rsidP="00BB691C">
      <w:pPr>
        <w:spacing w:after="0"/>
        <w:rPr>
          <w:rFonts w:ascii="Tahoma" w:hAnsi="Tahoma" w:cs="Tahoma"/>
          <w:b/>
          <w:szCs w:val="24"/>
        </w:rPr>
      </w:pPr>
      <w:r>
        <w:rPr>
          <w:rFonts w:ascii="Tahoma" w:hAnsi="Tahoma" w:cs="Tahoma"/>
          <w:noProof/>
          <w:lang w:val="es-CO" w:eastAsia="es-CO"/>
        </w:rPr>
        <w:drawing>
          <wp:inline distT="0" distB="0" distL="0" distR="0" wp14:anchorId="508FDE7E" wp14:editId="3A5771B9">
            <wp:extent cx="5486400" cy="3208020"/>
            <wp:effectExtent l="0" t="0" r="19050" b="1143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B691C" w:rsidRDefault="00BB691C" w:rsidP="00BB691C">
      <w:pPr>
        <w:spacing w:after="0"/>
        <w:jc w:val="both"/>
        <w:rPr>
          <w:rFonts w:ascii="Tahoma" w:hAnsi="Tahoma" w:cs="Tahoma"/>
        </w:rPr>
      </w:pPr>
    </w:p>
    <w:p w:rsidR="00BB691C" w:rsidRDefault="00BB691C" w:rsidP="00BB691C">
      <w:pPr>
        <w:spacing w:after="0"/>
        <w:jc w:val="both"/>
        <w:rPr>
          <w:rFonts w:ascii="Tahoma" w:hAnsi="Tahoma" w:cs="Tahoma"/>
          <w:b/>
        </w:rPr>
      </w:pPr>
    </w:p>
    <w:p w:rsidR="00BB691C" w:rsidRDefault="00BB691C" w:rsidP="00BB691C">
      <w:pPr>
        <w:spacing w:after="0"/>
        <w:jc w:val="both"/>
        <w:rPr>
          <w:rFonts w:ascii="Tahoma" w:hAnsi="Tahoma" w:cs="Tahoma"/>
        </w:rPr>
      </w:pPr>
      <w:r w:rsidRPr="00E255C8">
        <w:rPr>
          <w:rFonts w:ascii="Tahoma" w:hAnsi="Tahoma" w:cs="Tahoma"/>
          <w:b/>
        </w:rPr>
        <w:t>Los Gastos de inversión</w:t>
      </w:r>
      <w:r w:rsidRPr="006309B9">
        <w:rPr>
          <w:rFonts w:ascii="Tahoma" w:hAnsi="Tahoma" w:cs="Tahoma"/>
        </w:rPr>
        <w:t xml:space="preserve"> se Clasificaron en</w:t>
      </w:r>
      <w:r w:rsidR="00725774">
        <w:rPr>
          <w:rFonts w:ascii="Tahoma" w:hAnsi="Tahoma" w:cs="Tahoma"/>
        </w:rPr>
        <w:t>: Sector Salud 49.89</w:t>
      </w:r>
      <w:r>
        <w:rPr>
          <w:rFonts w:ascii="Tahoma" w:hAnsi="Tahoma" w:cs="Tahoma"/>
        </w:rPr>
        <w:t>%</w:t>
      </w:r>
      <w:r w:rsidR="00725774">
        <w:rPr>
          <w:rFonts w:ascii="Tahoma" w:hAnsi="Tahoma" w:cs="Tahoma"/>
        </w:rPr>
        <w:t>, Sector Transporte con un 3.04%, Saneamiento básico 6.71</w:t>
      </w:r>
      <w:r w:rsidR="00320B59">
        <w:rPr>
          <w:rFonts w:ascii="Tahoma" w:hAnsi="Tahoma" w:cs="Tahoma"/>
        </w:rPr>
        <w:t>%, Educación 6.28%, Defensa 2.4%. Sector Gobierno 1.25%, sector Agropecuario 1.48, Sector Energía 1.69, Sector vivienda 2.49, Otros sectores 4.1</w:t>
      </w:r>
      <w:r>
        <w:rPr>
          <w:rFonts w:ascii="Tahoma" w:hAnsi="Tahoma" w:cs="Tahoma"/>
        </w:rPr>
        <w:t>%</w:t>
      </w:r>
      <w:r w:rsidR="00320B59">
        <w:rPr>
          <w:rFonts w:ascii="Tahoma" w:hAnsi="Tahoma" w:cs="Tahoma"/>
        </w:rPr>
        <w:t xml:space="preserve">. </w:t>
      </w:r>
    </w:p>
    <w:p w:rsidR="00BB691C" w:rsidRDefault="00BB691C" w:rsidP="00BB691C">
      <w:pPr>
        <w:spacing w:after="0"/>
        <w:jc w:val="both"/>
        <w:rPr>
          <w:rFonts w:ascii="Tahoma" w:hAnsi="Tahoma" w:cs="Tahoma"/>
        </w:rPr>
      </w:pPr>
    </w:p>
    <w:p w:rsidR="00BB691C" w:rsidRDefault="00BB691C" w:rsidP="00BB691C">
      <w:pPr>
        <w:spacing w:after="0"/>
        <w:jc w:val="both"/>
        <w:rPr>
          <w:rFonts w:ascii="Tahoma" w:hAnsi="Tahoma" w:cs="Tahoma"/>
        </w:rPr>
      </w:pPr>
      <w:r>
        <w:rPr>
          <w:rFonts w:ascii="Tahoma" w:hAnsi="Tahoma" w:cs="Tahoma"/>
          <w:noProof/>
          <w:lang w:val="es-CO" w:eastAsia="es-CO"/>
        </w:rPr>
        <w:lastRenderedPageBreak/>
        <w:drawing>
          <wp:inline distT="0" distB="0" distL="0" distR="0" wp14:anchorId="0EA981CA" wp14:editId="17E4DCC1">
            <wp:extent cx="5866410" cy="3420094"/>
            <wp:effectExtent l="0" t="0" r="20320" b="952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B691C" w:rsidRDefault="00BB691C" w:rsidP="00BB691C">
      <w:pPr>
        <w:spacing w:after="0"/>
        <w:jc w:val="both"/>
        <w:rPr>
          <w:rFonts w:ascii="Tahoma" w:hAnsi="Tahoma" w:cs="Tahoma"/>
        </w:rPr>
      </w:pPr>
    </w:p>
    <w:p w:rsidR="00BB691C" w:rsidRDefault="00BB691C" w:rsidP="00BB691C">
      <w:pPr>
        <w:tabs>
          <w:tab w:val="left" w:pos="4989"/>
          <w:tab w:val="left" w:pos="5901"/>
        </w:tabs>
        <w:spacing w:after="0"/>
        <w:jc w:val="both"/>
        <w:rPr>
          <w:rFonts w:ascii="Tahoma" w:hAnsi="Tahoma" w:cs="Tahoma"/>
          <w:b/>
          <w:szCs w:val="24"/>
        </w:rPr>
      </w:pPr>
      <w:r>
        <w:rPr>
          <w:rFonts w:ascii="Tahoma" w:hAnsi="Tahoma" w:cs="Tahoma"/>
        </w:rPr>
        <w:tab/>
      </w:r>
    </w:p>
    <w:p w:rsidR="00BB691C" w:rsidRDefault="00BB691C" w:rsidP="00BB691C">
      <w:pPr>
        <w:spacing w:after="0"/>
        <w:rPr>
          <w:rFonts w:ascii="Tahoma" w:hAnsi="Tahoma" w:cs="Tahoma"/>
          <w:b/>
          <w:szCs w:val="24"/>
        </w:rPr>
      </w:pPr>
    </w:p>
    <w:p w:rsidR="00BB691C" w:rsidRPr="00B761E4" w:rsidRDefault="00BB691C" w:rsidP="00BB691C">
      <w:pPr>
        <w:spacing w:after="0"/>
        <w:rPr>
          <w:rFonts w:ascii="Tahoma" w:hAnsi="Tahoma" w:cs="Tahoma"/>
          <w:b/>
          <w:szCs w:val="24"/>
        </w:rPr>
      </w:pPr>
      <w:r w:rsidRPr="00B761E4">
        <w:rPr>
          <w:rFonts w:ascii="Tahoma" w:hAnsi="Tahoma" w:cs="Tahoma"/>
          <w:b/>
          <w:szCs w:val="24"/>
        </w:rPr>
        <w:t>MODIFICACIONES AL PRESUPUESTO DE GASTOS</w:t>
      </w:r>
      <w:r>
        <w:rPr>
          <w:rFonts w:ascii="Tahoma" w:hAnsi="Tahoma" w:cs="Tahoma"/>
          <w:b/>
          <w:szCs w:val="24"/>
        </w:rPr>
        <w:t xml:space="preserve"> - ADICIONES</w:t>
      </w:r>
    </w:p>
    <w:p w:rsidR="00BB691C" w:rsidRDefault="00BB691C" w:rsidP="00BB691C">
      <w:pPr>
        <w:tabs>
          <w:tab w:val="left" w:pos="5696"/>
        </w:tabs>
        <w:spacing w:after="0"/>
        <w:jc w:val="both"/>
        <w:rPr>
          <w:rFonts w:ascii="Tahoma" w:hAnsi="Tahoma" w:cs="Tahoma"/>
          <w:szCs w:val="24"/>
        </w:rPr>
      </w:pPr>
      <w:r>
        <w:rPr>
          <w:rFonts w:ascii="Tahoma" w:hAnsi="Tahoma" w:cs="Tahoma"/>
          <w:szCs w:val="24"/>
        </w:rPr>
        <w:tab/>
      </w:r>
    </w:p>
    <w:p w:rsidR="00BB691C" w:rsidRDefault="00BB691C" w:rsidP="00BB691C">
      <w:pPr>
        <w:tabs>
          <w:tab w:val="left" w:pos="5696"/>
        </w:tabs>
        <w:spacing w:after="0"/>
        <w:jc w:val="both"/>
        <w:rPr>
          <w:rFonts w:ascii="Tahoma" w:hAnsi="Tahoma" w:cs="Tahoma"/>
          <w:szCs w:val="24"/>
        </w:rPr>
      </w:pPr>
      <w:r>
        <w:rPr>
          <w:rFonts w:ascii="Tahoma" w:hAnsi="Tahoma" w:cs="Tahoma"/>
          <w:szCs w:val="24"/>
        </w:rPr>
        <w:t xml:space="preserve">El presupuesto de gastos del Municipio </w:t>
      </w:r>
      <w:r w:rsidR="005A555A">
        <w:rPr>
          <w:rFonts w:ascii="Tahoma" w:hAnsi="Tahoma" w:cs="Tahoma"/>
        </w:rPr>
        <w:t>Herveo</w:t>
      </w:r>
      <w:r w:rsidR="005A555A">
        <w:rPr>
          <w:rFonts w:ascii="Tahoma" w:hAnsi="Tahoma" w:cs="Tahoma"/>
          <w:szCs w:val="24"/>
        </w:rPr>
        <w:t xml:space="preserve"> </w:t>
      </w:r>
      <w:r>
        <w:rPr>
          <w:rFonts w:ascii="Tahoma" w:hAnsi="Tahoma" w:cs="Tahoma"/>
          <w:szCs w:val="24"/>
        </w:rPr>
        <w:t>de la vigencia 2015, presentó Adiciones pre</w:t>
      </w:r>
      <w:r w:rsidR="009E430A">
        <w:rPr>
          <w:rFonts w:ascii="Tahoma" w:hAnsi="Tahoma" w:cs="Tahoma"/>
          <w:szCs w:val="24"/>
        </w:rPr>
        <w:t>s</w:t>
      </w:r>
      <w:r w:rsidR="007762A7">
        <w:rPr>
          <w:rFonts w:ascii="Tahoma" w:hAnsi="Tahoma" w:cs="Tahoma"/>
          <w:szCs w:val="24"/>
        </w:rPr>
        <w:t>upuestales en la suma de $ 6.287</w:t>
      </w:r>
      <w:r>
        <w:rPr>
          <w:rFonts w:ascii="Tahoma" w:hAnsi="Tahoma" w:cs="Tahoma"/>
          <w:szCs w:val="24"/>
        </w:rPr>
        <w:t xml:space="preserve"> millones</w:t>
      </w:r>
      <w:r w:rsidR="007762A7">
        <w:rPr>
          <w:rFonts w:ascii="Tahoma" w:hAnsi="Tahoma" w:cs="Tahoma"/>
          <w:szCs w:val="24"/>
        </w:rPr>
        <w:t>, reducciones en la suma de $339</w:t>
      </w:r>
      <w:r>
        <w:rPr>
          <w:rFonts w:ascii="Tahoma" w:hAnsi="Tahoma" w:cs="Tahoma"/>
          <w:szCs w:val="24"/>
        </w:rPr>
        <w:t xml:space="preserve"> millones y traslados pre</w:t>
      </w:r>
      <w:r w:rsidR="007762A7">
        <w:rPr>
          <w:rFonts w:ascii="Tahoma" w:hAnsi="Tahoma" w:cs="Tahoma"/>
          <w:szCs w:val="24"/>
        </w:rPr>
        <w:t>supuestales en la suma de $741</w:t>
      </w:r>
      <w:r>
        <w:rPr>
          <w:rFonts w:ascii="Tahoma" w:hAnsi="Tahoma" w:cs="Tahoma"/>
          <w:szCs w:val="24"/>
        </w:rPr>
        <w:t xml:space="preserve"> millones, para un p</w:t>
      </w:r>
      <w:r w:rsidR="007762A7">
        <w:rPr>
          <w:rFonts w:ascii="Tahoma" w:hAnsi="Tahoma" w:cs="Tahoma"/>
          <w:szCs w:val="24"/>
        </w:rPr>
        <w:t>resupuesto definitivo de $11.565</w:t>
      </w:r>
      <w:r>
        <w:rPr>
          <w:rFonts w:ascii="Tahoma" w:hAnsi="Tahoma" w:cs="Tahoma"/>
          <w:szCs w:val="24"/>
        </w:rPr>
        <w:t xml:space="preserve"> millones.</w:t>
      </w:r>
    </w:p>
    <w:p w:rsidR="00BB691C" w:rsidRDefault="00BB691C" w:rsidP="00BB691C">
      <w:pPr>
        <w:tabs>
          <w:tab w:val="left" w:pos="5696"/>
        </w:tabs>
        <w:spacing w:after="0"/>
        <w:jc w:val="both"/>
        <w:rPr>
          <w:rFonts w:ascii="Tahoma" w:hAnsi="Tahoma" w:cs="Tahoma"/>
          <w:szCs w:val="24"/>
        </w:rPr>
      </w:pPr>
    </w:p>
    <w:p w:rsidR="00BB691C" w:rsidRPr="00E324E3" w:rsidRDefault="00BB691C" w:rsidP="00BB691C">
      <w:pPr>
        <w:tabs>
          <w:tab w:val="left" w:pos="5696"/>
        </w:tabs>
        <w:spacing w:after="0"/>
        <w:jc w:val="both"/>
        <w:rPr>
          <w:rFonts w:ascii="Tahoma" w:hAnsi="Tahoma" w:cs="Tahoma"/>
          <w:b/>
          <w:szCs w:val="24"/>
        </w:rPr>
      </w:pPr>
      <w:r w:rsidRPr="00E324E3">
        <w:rPr>
          <w:rFonts w:ascii="Tahoma" w:hAnsi="Tahoma" w:cs="Tahoma"/>
          <w:b/>
          <w:szCs w:val="24"/>
        </w:rPr>
        <w:t>MODIFICACIONES GASTOS DE FUNCIONAMIENTO</w:t>
      </w:r>
      <w:r>
        <w:rPr>
          <w:rFonts w:ascii="Tahoma" w:hAnsi="Tahoma" w:cs="Tahoma"/>
          <w:b/>
          <w:szCs w:val="24"/>
        </w:rPr>
        <w:t xml:space="preserve"> E INVERSION</w:t>
      </w:r>
    </w:p>
    <w:p w:rsidR="00BB691C" w:rsidRDefault="00BB691C" w:rsidP="00BB691C">
      <w:pPr>
        <w:tabs>
          <w:tab w:val="left" w:pos="5696"/>
        </w:tabs>
        <w:spacing w:after="0"/>
        <w:jc w:val="both"/>
        <w:rPr>
          <w:rFonts w:ascii="Tahoma" w:hAnsi="Tahoma" w:cs="Tahoma"/>
          <w:szCs w:val="24"/>
        </w:rPr>
      </w:pPr>
    </w:p>
    <w:p w:rsidR="00BB691C" w:rsidRDefault="00BB691C" w:rsidP="00BB691C">
      <w:pPr>
        <w:tabs>
          <w:tab w:val="left" w:pos="5696"/>
        </w:tabs>
        <w:spacing w:after="0"/>
        <w:jc w:val="both"/>
        <w:rPr>
          <w:rFonts w:ascii="Tahoma" w:hAnsi="Tahoma" w:cs="Tahoma"/>
          <w:szCs w:val="24"/>
        </w:rPr>
      </w:pPr>
      <w:r>
        <w:rPr>
          <w:rFonts w:ascii="Tahoma" w:hAnsi="Tahoma" w:cs="Tahoma"/>
          <w:szCs w:val="24"/>
        </w:rPr>
        <w:t>Los Gastos de funcionami</w:t>
      </w:r>
      <w:r w:rsidR="00ED3288">
        <w:rPr>
          <w:rFonts w:ascii="Tahoma" w:hAnsi="Tahoma" w:cs="Tahoma"/>
          <w:szCs w:val="24"/>
        </w:rPr>
        <w:t xml:space="preserve">ento se incrementaron en un </w:t>
      </w:r>
      <w:r w:rsidR="007762A7">
        <w:rPr>
          <w:rFonts w:ascii="Tahoma" w:hAnsi="Tahoma" w:cs="Tahoma"/>
          <w:szCs w:val="24"/>
        </w:rPr>
        <w:t>37.70%, es decir la suma de $381</w:t>
      </w:r>
      <w:r>
        <w:rPr>
          <w:rFonts w:ascii="Tahoma" w:hAnsi="Tahoma" w:cs="Tahoma"/>
          <w:szCs w:val="24"/>
        </w:rPr>
        <w:t xml:space="preserve"> millones y los</w:t>
      </w:r>
      <w:r w:rsidR="00ED3288">
        <w:rPr>
          <w:rFonts w:ascii="Tahoma" w:hAnsi="Tahoma" w:cs="Tahoma"/>
          <w:szCs w:val="24"/>
        </w:rPr>
        <w:t xml:space="preserve"> gastos de Inversión</w:t>
      </w:r>
      <w:r w:rsidR="007762A7">
        <w:rPr>
          <w:rFonts w:ascii="Tahoma" w:hAnsi="Tahoma" w:cs="Tahoma"/>
          <w:szCs w:val="24"/>
        </w:rPr>
        <w:t xml:space="preserve"> en un 127.87</w:t>
      </w:r>
      <w:r w:rsidR="00ED3288">
        <w:rPr>
          <w:rFonts w:ascii="Tahoma" w:hAnsi="Tahoma" w:cs="Tahoma"/>
          <w:szCs w:val="24"/>
        </w:rPr>
        <w:t>%, equiv</w:t>
      </w:r>
      <w:r w:rsidR="007762A7">
        <w:rPr>
          <w:rFonts w:ascii="Tahoma" w:hAnsi="Tahoma" w:cs="Tahoma"/>
          <w:szCs w:val="24"/>
        </w:rPr>
        <w:t>alentes a $5.</w:t>
      </w:r>
      <w:r w:rsidR="00ED3288">
        <w:rPr>
          <w:rFonts w:ascii="Tahoma" w:hAnsi="Tahoma" w:cs="Tahoma"/>
          <w:szCs w:val="24"/>
        </w:rPr>
        <w:t>8</w:t>
      </w:r>
      <w:r w:rsidR="007762A7">
        <w:rPr>
          <w:rFonts w:ascii="Tahoma" w:hAnsi="Tahoma" w:cs="Tahoma"/>
          <w:szCs w:val="24"/>
        </w:rPr>
        <w:t>55</w:t>
      </w:r>
      <w:r>
        <w:rPr>
          <w:rFonts w:ascii="Tahoma" w:hAnsi="Tahoma" w:cs="Tahoma"/>
          <w:szCs w:val="24"/>
        </w:rPr>
        <w:t xml:space="preserve"> millones con relación al presupuesto inicial.</w:t>
      </w:r>
    </w:p>
    <w:p w:rsidR="00BB691C" w:rsidRDefault="00BB691C" w:rsidP="00BB691C">
      <w:pPr>
        <w:tabs>
          <w:tab w:val="left" w:pos="5696"/>
        </w:tabs>
        <w:spacing w:after="0"/>
        <w:jc w:val="both"/>
        <w:rPr>
          <w:rFonts w:ascii="Tahoma" w:hAnsi="Tahoma" w:cs="Tahoma"/>
          <w:szCs w:val="24"/>
        </w:rPr>
      </w:pPr>
    </w:p>
    <w:p w:rsidR="00BB691C" w:rsidRDefault="00BB691C" w:rsidP="00BB691C">
      <w:pPr>
        <w:tabs>
          <w:tab w:val="left" w:pos="5696"/>
        </w:tabs>
        <w:spacing w:after="0"/>
        <w:jc w:val="both"/>
        <w:rPr>
          <w:rFonts w:ascii="Tahoma" w:hAnsi="Tahoma" w:cs="Tahoma"/>
          <w:szCs w:val="24"/>
        </w:rPr>
      </w:pPr>
    </w:p>
    <w:p w:rsidR="00BB691C" w:rsidRPr="00577624" w:rsidRDefault="00BB691C" w:rsidP="00BB691C">
      <w:pPr>
        <w:spacing w:after="0"/>
        <w:jc w:val="both"/>
        <w:rPr>
          <w:rFonts w:ascii="Tahoma" w:hAnsi="Tahoma" w:cs="Tahoma"/>
          <w:b/>
          <w:szCs w:val="16"/>
        </w:rPr>
      </w:pPr>
      <w:r w:rsidRPr="00577624">
        <w:rPr>
          <w:rFonts w:ascii="Tahoma" w:hAnsi="Tahoma" w:cs="Tahoma"/>
          <w:b/>
          <w:szCs w:val="16"/>
        </w:rPr>
        <w:t>MODIFICACIONES GASTOS DE INVERSION</w:t>
      </w:r>
    </w:p>
    <w:p w:rsidR="00BB691C" w:rsidRDefault="00BB691C" w:rsidP="00BB691C">
      <w:pPr>
        <w:spacing w:after="0"/>
        <w:jc w:val="both"/>
        <w:rPr>
          <w:rFonts w:ascii="Tahoma" w:hAnsi="Tahoma" w:cs="Tahoma"/>
          <w:szCs w:val="16"/>
        </w:rPr>
      </w:pPr>
    </w:p>
    <w:p w:rsidR="00BB691C" w:rsidRDefault="00BB691C" w:rsidP="00BB691C">
      <w:pPr>
        <w:spacing w:after="0"/>
        <w:jc w:val="both"/>
        <w:rPr>
          <w:rFonts w:ascii="Tahoma" w:hAnsi="Tahoma" w:cs="Tahoma"/>
          <w:szCs w:val="16"/>
        </w:rPr>
      </w:pPr>
      <w:r>
        <w:rPr>
          <w:rFonts w:ascii="Tahoma" w:hAnsi="Tahoma" w:cs="Tahoma"/>
          <w:szCs w:val="16"/>
        </w:rPr>
        <w:t xml:space="preserve">Los Gastos de inversión que presentaron más modificaciones (Adiciones) en la vigencia 2015, fueron: </w:t>
      </w:r>
      <w:r w:rsidR="00F674ED">
        <w:rPr>
          <w:rFonts w:ascii="Tahoma" w:hAnsi="Tahoma" w:cs="Tahoma"/>
          <w:szCs w:val="16"/>
        </w:rPr>
        <w:t xml:space="preserve">Saneamiento básico $1.807 millones, Sector Vivienda $1.045 millones, </w:t>
      </w:r>
      <w:r w:rsidR="003B6C11">
        <w:rPr>
          <w:rFonts w:ascii="Tahoma" w:hAnsi="Tahoma" w:cs="Tahoma"/>
          <w:szCs w:val="16"/>
        </w:rPr>
        <w:t>Sector Salud $1.015</w:t>
      </w:r>
      <w:r w:rsidR="00DB2EEF">
        <w:rPr>
          <w:rFonts w:ascii="Tahoma" w:hAnsi="Tahoma" w:cs="Tahoma"/>
          <w:szCs w:val="16"/>
        </w:rPr>
        <w:t xml:space="preserve"> millones, </w:t>
      </w:r>
      <w:r w:rsidR="00F674ED">
        <w:rPr>
          <w:rFonts w:ascii="Tahoma" w:hAnsi="Tahoma" w:cs="Tahoma"/>
          <w:szCs w:val="16"/>
        </w:rPr>
        <w:t xml:space="preserve">Otros Sectores $467 millones, Sector Recreación y Deporte $407 millones Sector de </w:t>
      </w:r>
      <w:r w:rsidR="003B6C11">
        <w:rPr>
          <w:rFonts w:ascii="Tahoma" w:hAnsi="Tahoma" w:cs="Tahoma"/>
          <w:szCs w:val="16"/>
        </w:rPr>
        <w:t xml:space="preserve">Educación </w:t>
      </w:r>
      <w:r w:rsidR="00F674ED">
        <w:rPr>
          <w:rFonts w:ascii="Tahoma" w:hAnsi="Tahoma" w:cs="Tahoma"/>
          <w:szCs w:val="16"/>
        </w:rPr>
        <w:t>$</w:t>
      </w:r>
      <w:r w:rsidR="003B6C11">
        <w:rPr>
          <w:rFonts w:ascii="Tahoma" w:hAnsi="Tahoma" w:cs="Tahoma"/>
          <w:szCs w:val="16"/>
        </w:rPr>
        <w:t>352</w:t>
      </w:r>
      <w:r w:rsidR="00DB220F">
        <w:rPr>
          <w:rFonts w:ascii="Tahoma" w:hAnsi="Tahoma" w:cs="Tahoma"/>
          <w:szCs w:val="16"/>
        </w:rPr>
        <w:t xml:space="preserve"> millones, </w:t>
      </w:r>
      <w:r w:rsidR="003B6C11">
        <w:rPr>
          <w:rFonts w:ascii="Tahoma" w:hAnsi="Tahoma" w:cs="Tahoma"/>
          <w:szCs w:val="16"/>
        </w:rPr>
        <w:t>Sector Transporte $225</w:t>
      </w:r>
      <w:r w:rsidR="00DB220F" w:rsidRPr="00DB220F">
        <w:rPr>
          <w:rFonts w:ascii="Tahoma" w:hAnsi="Tahoma" w:cs="Tahoma"/>
          <w:szCs w:val="16"/>
        </w:rPr>
        <w:t xml:space="preserve"> millones,</w:t>
      </w:r>
      <w:r w:rsidR="00F674ED" w:rsidRPr="00F674ED">
        <w:rPr>
          <w:rFonts w:ascii="Tahoma" w:hAnsi="Tahoma" w:cs="Tahoma"/>
          <w:szCs w:val="16"/>
        </w:rPr>
        <w:t xml:space="preserve"> </w:t>
      </w:r>
      <w:r w:rsidR="00F674ED">
        <w:rPr>
          <w:rFonts w:ascii="Tahoma" w:hAnsi="Tahoma" w:cs="Tahoma"/>
          <w:szCs w:val="16"/>
        </w:rPr>
        <w:t xml:space="preserve">Arte y Cultura $187 millones, </w:t>
      </w:r>
      <w:r w:rsidR="00DB220F" w:rsidRPr="00DB220F">
        <w:rPr>
          <w:rFonts w:ascii="Tahoma" w:hAnsi="Tahoma" w:cs="Tahoma"/>
          <w:szCs w:val="16"/>
        </w:rPr>
        <w:t xml:space="preserve"> </w:t>
      </w:r>
      <w:r w:rsidR="003B6C11">
        <w:rPr>
          <w:rFonts w:ascii="Tahoma" w:hAnsi="Tahoma" w:cs="Tahoma"/>
          <w:szCs w:val="16"/>
        </w:rPr>
        <w:t xml:space="preserve">Sector Agropecuario </w:t>
      </w:r>
      <w:r w:rsidR="00F674ED">
        <w:rPr>
          <w:rFonts w:ascii="Tahoma" w:hAnsi="Tahoma" w:cs="Tahoma"/>
          <w:szCs w:val="16"/>
        </w:rPr>
        <w:t>$</w:t>
      </w:r>
      <w:r w:rsidR="003B6C11">
        <w:rPr>
          <w:rFonts w:ascii="Tahoma" w:hAnsi="Tahoma" w:cs="Tahoma"/>
          <w:szCs w:val="16"/>
        </w:rPr>
        <w:t>143</w:t>
      </w:r>
      <w:r w:rsidR="00DB220F">
        <w:rPr>
          <w:rFonts w:ascii="Tahoma" w:hAnsi="Tahoma" w:cs="Tahoma"/>
          <w:szCs w:val="16"/>
        </w:rPr>
        <w:t xml:space="preserve"> millones, Sector Defensa $</w:t>
      </w:r>
      <w:r w:rsidR="003B6C11">
        <w:rPr>
          <w:rFonts w:ascii="Tahoma" w:hAnsi="Tahoma" w:cs="Tahoma"/>
          <w:szCs w:val="16"/>
        </w:rPr>
        <w:t xml:space="preserve">117 </w:t>
      </w:r>
      <w:r w:rsidR="00DB220F">
        <w:rPr>
          <w:rFonts w:ascii="Tahoma" w:hAnsi="Tahoma" w:cs="Tahoma"/>
          <w:szCs w:val="16"/>
        </w:rPr>
        <w:t>millone</w:t>
      </w:r>
      <w:r w:rsidR="00F674ED">
        <w:rPr>
          <w:rFonts w:ascii="Tahoma" w:hAnsi="Tahoma" w:cs="Tahoma"/>
          <w:szCs w:val="16"/>
        </w:rPr>
        <w:t>s,</w:t>
      </w:r>
      <w:r w:rsidR="00F674ED" w:rsidRPr="00F674ED">
        <w:rPr>
          <w:rFonts w:ascii="Tahoma" w:hAnsi="Tahoma" w:cs="Tahoma"/>
          <w:szCs w:val="16"/>
        </w:rPr>
        <w:t xml:space="preserve"> </w:t>
      </w:r>
      <w:r w:rsidR="00F674ED">
        <w:rPr>
          <w:rFonts w:ascii="Tahoma" w:hAnsi="Tahoma" w:cs="Tahoma"/>
          <w:szCs w:val="16"/>
        </w:rPr>
        <w:t>Gobierno $57 millones.</w:t>
      </w:r>
    </w:p>
    <w:p w:rsidR="00BB691C" w:rsidRDefault="00BB691C" w:rsidP="00BB691C">
      <w:pPr>
        <w:spacing w:after="0"/>
        <w:jc w:val="both"/>
        <w:rPr>
          <w:rFonts w:ascii="Tahoma" w:hAnsi="Tahoma" w:cs="Tahoma"/>
          <w:szCs w:val="16"/>
        </w:rPr>
      </w:pPr>
    </w:p>
    <w:p w:rsidR="00BB691C" w:rsidRDefault="00BB691C" w:rsidP="00BB691C">
      <w:pPr>
        <w:spacing w:after="0"/>
        <w:jc w:val="center"/>
        <w:rPr>
          <w:noProof/>
          <w:lang w:eastAsia="es-ES"/>
        </w:rPr>
      </w:pPr>
    </w:p>
    <w:p w:rsidR="00DB220F" w:rsidRDefault="00DB220F" w:rsidP="00BB691C">
      <w:pPr>
        <w:spacing w:after="0"/>
        <w:jc w:val="center"/>
        <w:rPr>
          <w:noProof/>
          <w:lang w:eastAsia="es-ES"/>
        </w:rPr>
      </w:pPr>
    </w:p>
    <w:p w:rsidR="00BB691C" w:rsidRDefault="00BB691C" w:rsidP="00BB691C">
      <w:pPr>
        <w:spacing w:after="0"/>
        <w:jc w:val="center"/>
        <w:rPr>
          <w:noProof/>
          <w:lang w:eastAsia="es-ES"/>
        </w:rPr>
      </w:pPr>
      <w:r>
        <w:rPr>
          <w:noProof/>
          <w:lang w:val="es-CO" w:eastAsia="es-CO"/>
        </w:rPr>
        <w:drawing>
          <wp:inline distT="0" distB="0" distL="0" distR="0" wp14:anchorId="6081EA83" wp14:editId="730E9E05">
            <wp:extent cx="4945380" cy="2796540"/>
            <wp:effectExtent l="0" t="0" r="26670" b="2286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B691C" w:rsidRDefault="00BB691C" w:rsidP="00BB691C">
      <w:pPr>
        <w:spacing w:after="0"/>
        <w:jc w:val="center"/>
        <w:rPr>
          <w:noProof/>
          <w:lang w:eastAsia="es-ES"/>
        </w:rPr>
      </w:pPr>
    </w:p>
    <w:p w:rsidR="00BB691C" w:rsidRDefault="00BB691C" w:rsidP="00BB691C">
      <w:pPr>
        <w:spacing w:after="0"/>
        <w:jc w:val="center"/>
        <w:rPr>
          <w:noProof/>
          <w:lang w:eastAsia="es-ES"/>
        </w:rPr>
      </w:pPr>
    </w:p>
    <w:p w:rsidR="00BB691C" w:rsidRDefault="00BB691C" w:rsidP="00BB691C">
      <w:pPr>
        <w:spacing w:after="0"/>
        <w:rPr>
          <w:rFonts w:ascii="Tahoma" w:hAnsi="Tahoma" w:cs="Tahoma"/>
          <w:b/>
          <w:szCs w:val="24"/>
        </w:rPr>
      </w:pPr>
      <w:r>
        <w:rPr>
          <w:rFonts w:ascii="Tahoma" w:hAnsi="Tahoma" w:cs="Tahoma"/>
          <w:b/>
          <w:szCs w:val="24"/>
        </w:rPr>
        <w:t>GASTOS EJECUTADOS</w:t>
      </w:r>
    </w:p>
    <w:p w:rsidR="00BB691C" w:rsidRPr="00565F73" w:rsidRDefault="00BB691C" w:rsidP="00BB691C">
      <w:pPr>
        <w:spacing w:after="0"/>
        <w:rPr>
          <w:rFonts w:ascii="Tahoma" w:hAnsi="Tahoma" w:cs="Tahoma"/>
          <w:b/>
          <w:sz w:val="16"/>
          <w:szCs w:val="24"/>
        </w:rPr>
      </w:pPr>
    </w:p>
    <w:p w:rsidR="00BB691C" w:rsidRDefault="00BB691C" w:rsidP="00BB691C">
      <w:pPr>
        <w:spacing w:after="0"/>
        <w:jc w:val="both"/>
        <w:rPr>
          <w:rFonts w:ascii="Tahoma" w:hAnsi="Tahoma" w:cs="Tahoma"/>
          <w:bCs/>
        </w:rPr>
      </w:pPr>
      <w:r w:rsidRPr="00B65E8C">
        <w:rPr>
          <w:rFonts w:ascii="Tahoma" w:hAnsi="Tahoma" w:cs="Tahoma"/>
        </w:rPr>
        <w:t>A</w:t>
      </w:r>
      <w:r>
        <w:rPr>
          <w:rFonts w:ascii="Tahoma" w:hAnsi="Tahoma" w:cs="Tahoma"/>
        </w:rPr>
        <w:t xml:space="preserve"> Diciembre 31 de 2015, </w:t>
      </w:r>
      <w:r w:rsidRPr="00B65E8C">
        <w:rPr>
          <w:rFonts w:ascii="Tahoma" w:hAnsi="Tahoma" w:cs="Tahoma"/>
        </w:rPr>
        <w:t xml:space="preserve">el Municipio de </w:t>
      </w:r>
      <w:r w:rsidR="005A555A">
        <w:rPr>
          <w:rFonts w:ascii="Tahoma" w:hAnsi="Tahoma" w:cs="Tahoma"/>
        </w:rPr>
        <w:t>Herveo</w:t>
      </w:r>
      <w:r w:rsidR="005A555A" w:rsidRPr="00B65E8C">
        <w:rPr>
          <w:rFonts w:ascii="Tahoma" w:hAnsi="Tahoma" w:cs="Tahoma"/>
        </w:rPr>
        <w:t xml:space="preserve"> </w:t>
      </w:r>
      <w:r w:rsidRPr="00B65E8C">
        <w:rPr>
          <w:rFonts w:ascii="Tahoma" w:hAnsi="Tahoma" w:cs="Tahoma"/>
        </w:rPr>
        <w:t xml:space="preserve">comprometió gastos por  </w:t>
      </w:r>
      <w:r>
        <w:rPr>
          <w:rFonts w:ascii="Tahoma" w:hAnsi="Tahoma" w:cs="Tahoma"/>
        </w:rPr>
        <w:t>la suma</w:t>
      </w:r>
      <w:r w:rsidRPr="00B65E8C">
        <w:rPr>
          <w:rFonts w:ascii="Tahoma" w:hAnsi="Tahoma" w:cs="Tahoma"/>
        </w:rPr>
        <w:t xml:space="preserve"> de $</w:t>
      </w:r>
      <w:r w:rsidR="00FD5F58">
        <w:rPr>
          <w:rFonts w:ascii="Tahoma" w:hAnsi="Tahoma" w:cs="Tahoma"/>
        </w:rPr>
        <w:t>10.062</w:t>
      </w:r>
      <w:r>
        <w:rPr>
          <w:rFonts w:ascii="Tahoma" w:hAnsi="Tahoma" w:cs="Tahoma"/>
        </w:rPr>
        <w:t xml:space="preserve"> millones,  </w:t>
      </w:r>
      <w:r w:rsidRPr="00B65E8C">
        <w:rPr>
          <w:rFonts w:ascii="Tahoma" w:hAnsi="Tahoma" w:cs="Tahoma"/>
          <w:bCs/>
        </w:rPr>
        <w:t>distribuidos entre Gastos de Funcionamiento por $</w:t>
      </w:r>
      <w:r w:rsidR="00FD5F58">
        <w:rPr>
          <w:rFonts w:ascii="Tahoma" w:hAnsi="Tahoma" w:cs="Tahoma"/>
          <w:bCs/>
        </w:rPr>
        <w:t>1.284</w:t>
      </w:r>
      <w:r>
        <w:rPr>
          <w:rFonts w:ascii="Tahoma" w:hAnsi="Tahoma" w:cs="Tahoma"/>
          <w:bCs/>
        </w:rPr>
        <w:t xml:space="preserve"> millones,</w:t>
      </w:r>
      <w:r w:rsidRPr="00B65E8C">
        <w:rPr>
          <w:rFonts w:ascii="Tahoma" w:hAnsi="Tahoma" w:cs="Tahoma"/>
          <w:bCs/>
        </w:rPr>
        <w:t xml:space="preserve"> e Inversión </w:t>
      </w:r>
      <w:r>
        <w:rPr>
          <w:rFonts w:ascii="Tahoma" w:hAnsi="Tahoma" w:cs="Tahoma"/>
          <w:bCs/>
        </w:rPr>
        <w:t xml:space="preserve">en la suma </w:t>
      </w:r>
      <w:r w:rsidRPr="00B65E8C">
        <w:rPr>
          <w:rFonts w:ascii="Tahoma" w:hAnsi="Tahoma" w:cs="Tahoma"/>
          <w:bCs/>
        </w:rPr>
        <w:t>de $</w:t>
      </w:r>
      <w:r w:rsidR="00FD5F58">
        <w:rPr>
          <w:rFonts w:ascii="Tahoma" w:hAnsi="Tahoma" w:cs="Tahoma"/>
          <w:bCs/>
        </w:rPr>
        <w:t>8.705</w:t>
      </w:r>
      <w:r>
        <w:rPr>
          <w:rFonts w:ascii="Tahoma" w:hAnsi="Tahoma" w:cs="Tahoma"/>
          <w:bCs/>
        </w:rPr>
        <w:t xml:space="preserve"> millones.  Ver tabla.</w:t>
      </w:r>
    </w:p>
    <w:p w:rsidR="00BB691C" w:rsidRDefault="00BB691C" w:rsidP="00BB691C">
      <w:pPr>
        <w:spacing w:after="0"/>
        <w:jc w:val="both"/>
        <w:rPr>
          <w:rFonts w:ascii="Tahoma" w:hAnsi="Tahoma" w:cs="Tahoma"/>
          <w:bCs/>
        </w:rPr>
      </w:pPr>
    </w:p>
    <w:p w:rsidR="00BB691C" w:rsidRDefault="009860AF" w:rsidP="00BB691C">
      <w:pPr>
        <w:spacing w:after="0"/>
        <w:jc w:val="center"/>
        <w:rPr>
          <w:rFonts w:ascii="Tahoma" w:hAnsi="Tahoma" w:cs="Tahoma"/>
          <w:bCs/>
        </w:rPr>
      </w:pPr>
      <w:r>
        <w:rPr>
          <w:noProof/>
          <w:lang w:val="es-CO" w:eastAsia="es-CO"/>
        </w:rPr>
        <w:drawing>
          <wp:inline distT="0" distB="0" distL="0" distR="0" wp14:anchorId="15CE5C78" wp14:editId="22DBD3C9">
            <wp:extent cx="5042344" cy="2470068"/>
            <wp:effectExtent l="0" t="0" r="635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17318" t="8573" b="8388"/>
                    <a:stretch/>
                  </pic:blipFill>
                  <pic:spPr bwMode="auto">
                    <a:xfrm>
                      <a:off x="0" y="0"/>
                      <a:ext cx="5072421" cy="2484802"/>
                    </a:xfrm>
                    <a:prstGeom prst="rect">
                      <a:avLst/>
                    </a:prstGeom>
                    <a:ln>
                      <a:noFill/>
                    </a:ln>
                    <a:extLst>
                      <a:ext uri="{53640926-AAD7-44D8-BBD7-CCE9431645EC}">
                        <a14:shadowObscured xmlns:a14="http://schemas.microsoft.com/office/drawing/2010/main"/>
                      </a:ext>
                    </a:extLst>
                  </pic:spPr>
                </pic:pic>
              </a:graphicData>
            </a:graphic>
          </wp:inline>
        </w:drawing>
      </w:r>
    </w:p>
    <w:p w:rsidR="00BB691C" w:rsidRPr="00565F73" w:rsidRDefault="00BB691C" w:rsidP="00BB691C">
      <w:pPr>
        <w:spacing w:after="0"/>
        <w:jc w:val="both"/>
        <w:rPr>
          <w:rFonts w:ascii="Tahoma" w:hAnsi="Tahoma" w:cs="Tahoma"/>
          <w:bCs/>
          <w:sz w:val="14"/>
        </w:rPr>
      </w:pPr>
    </w:p>
    <w:p w:rsidR="00BB691C" w:rsidRDefault="00BB691C" w:rsidP="00BB691C">
      <w:pPr>
        <w:spacing w:after="0"/>
        <w:jc w:val="both"/>
        <w:rPr>
          <w:rFonts w:ascii="Tahoma" w:hAnsi="Tahoma" w:cs="Tahoma"/>
          <w:bCs/>
        </w:rPr>
      </w:pPr>
    </w:p>
    <w:p w:rsidR="009E430A" w:rsidRDefault="009E430A" w:rsidP="00BB691C">
      <w:pPr>
        <w:spacing w:after="0"/>
        <w:jc w:val="both"/>
        <w:rPr>
          <w:rFonts w:ascii="Tahoma" w:hAnsi="Tahoma" w:cs="Tahoma"/>
          <w:bCs/>
        </w:rPr>
      </w:pPr>
    </w:p>
    <w:p w:rsidR="009E430A" w:rsidRDefault="009E430A" w:rsidP="00BB691C">
      <w:pPr>
        <w:spacing w:after="0"/>
        <w:jc w:val="both"/>
        <w:rPr>
          <w:rFonts w:ascii="Tahoma" w:hAnsi="Tahoma" w:cs="Tahoma"/>
          <w:bCs/>
        </w:rPr>
      </w:pPr>
    </w:p>
    <w:p w:rsidR="009E430A" w:rsidRDefault="009E430A" w:rsidP="00BB691C">
      <w:pPr>
        <w:spacing w:after="0"/>
        <w:jc w:val="both"/>
        <w:rPr>
          <w:rFonts w:ascii="Tahoma" w:hAnsi="Tahoma" w:cs="Tahoma"/>
          <w:bCs/>
        </w:rPr>
      </w:pPr>
    </w:p>
    <w:p w:rsidR="009E430A" w:rsidRDefault="009E430A" w:rsidP="00BB691C">
      <w:pPr>
        <w:spacing w:after="0"/>
        <w:jc w:val="both"/>
        <w:rPr>
          <w:rFonts w:ascii="Tahoma" w:hAnsi="Tahoma" w:cs="Tahoma"/>
          <w:bCs/>
        </w:rPr>
      </w:pPr>
    </w:p>
    <w:p w:rsidR="009E430A" w:rsidRDefault="009E430A" w:rsidP="00BB691C">
      <w:pPr>
        <w:spacing w:after="0"/>
        <w:jc w:val="both"/>
        <w:rPr>
          <w:rFonts w:ascii="Tahoma" w:hAnsi="Tahoma" w:cs="Tahoma"/>
          <w:bCs/>
        </w:rPr>
      </w:pPr>
    </w:p>
    <w:p w:rsidR="009E430A" w:rsidRDefault="009E430A" w:rsidP="00BB691C">
      <w:pPr>
        <w:spacing w:after="0"/>
        <w:jc w:val="both"/>
        <w:rPr>
          <w:rFonts w:ascii="Tahoma" w:hAnsi="Tahoma" w:cs="Tahoma"/>
          <w:bCs/>
        </w:rPr>
      </w:pPr>
    </w:p>
    <w:p w:rsidR="009E430A" w:rsidRDefault="009E430A" w:rsidP="00BB691C">
      <w:pPr>
        <w:spacing w:after="0"/>
        <w:jc w:val="both"/>
        <w:rPr>
          <w:rFonts w:ascii="Tahoma" w:hAnsi="Tahoma" w:cs="Tahoma"/>
          <w:bCs/>
        </w:rPr>
      </w:pPr>
    </w:p>
    <w:p w:rsidR="00BB691C" w:rsidRDefault="00BB691C" w:rsidP="00BB691C">
      <w:pPr>
        <w:spacing w:after="0"/>
        <w:jc w:val="both"/>
        <w:rPr>
          <w:rFonts w:ascii="Tahoma" w:hAnsi="Tahoma" w:cs="Tahoma"/>
          <w:bCs/>
        </w:rPr>
      </w:pPr>
    </w:p>
    <w:p w:rsidR="00E702D1" w:rsidRDefault="00E702D1" w:rsidP="00BB691C">
      <w:pPr>
        <w:spacing w:after="0"/>
        <w:jc w:val="center"/>
        <w:rPr>
          <w:rFonts w:ascii="Tahoma" w:hAnsi="Tahoma" w:cs="Tahoma"/>
          <w:b/>
        </w:rPr>
      </w:pPr>
    </w:p>
    <w:p w:rsidR="00BB691C" w:rsidRPr="00E924E2" w:rsidRDefault="00BB691C" w:rsidP="00BB691C">
      <w:pPr>
        <w:spacing w:after="0"/>
        <w:jc w:val="center"/>
        <w:rPr>
          <w:rFonts w:ascii="Tahoma" w:hAnsi="Tahoma" w:cs="Tahoma"/>
          <w:b/>
        </w:rPr>
      </w:pPr>
      <w:r w:rsidRPr="00741448">
        <w:rPr>
          <w:rFonts w:ascii="Tahoma" w:hAnsi="Tahoma" w:cs="Tahoma"/>
          <w:b/>
        </w:rPr>
        <w:t>CAPITULO 3</w:t>
      </w:r>
    </w:p>
    <w:p w:rsidR="00E702D1" w:rsidRDefault="00E702D1" w:rsidP="00BB691C">
      <w:pPr>
        <w:spacing w:after="0"/>
        <w:jc w:val="both"/>
        <w:rPr>
          <w:rFonts w:ascii="Tahoma" w:hAnsi="Tahoma" w:cs="Tahoma"/>
          <w:b/>
        </w:rPr>
      </w:pPr>
    </w:p>
    <w:p w:rsidR="00BB691C" w:rsidRDefault="00BB691C" w:rsidP="00BB691C">
      <w:pPr>
        <w:spacing w:after="0"/>
        <w:jc w:val="both"/>
        <w:rPr>
          <w:rFonts w:ascii="Tahoma" w:hAnsi="Tahoma" w:cs="Tahoma"/>
          <w:b/>
        </w:rPr>
      </w:pPr>
      <w:r w:rsidRPr="00E924E2">
        <w:rPr>
          <w:rFonts w:ascii="Tahoma" w:hAnsi="Tahoma" w:cs="Tahoma"/>
          <w:b/>
        </w:rPr>
        <w:t>VIABILDIAD FINANCIERA</w:t>
      </w:r>
    </w:p>
    <w:p w:rsidR="00BB691C" w:rsidRDefault="00BB691C" w:rsidP="00BB691C">
      <w:pPr>
        <w:spacing w:after="0"/>
        <w:jc w:val="both"/>
      </w:pPr>
    </w:p>
    <w:p w:rsidR="00BB691C" w:rsidRPr="0081415E" w:rsidRDefault="00BB691C" w:rsidP="00BB691C">
      <w:pPr>
        <w:spacing w:after="0"/>
        <w:jc w:val="both"/>
        <w:rPr>
          <w:rFonts w:ascii="Tahoma" w:hAnsi="Tahoma" w:cs="Tahoma"/>
        </w:rPr>
      </w:pPr>
      <w:r w:rsidRPr="0081415E">
        <w:rPr>
          <w:rFonts w:ascii="Tahoma" w:hAnsi="Tahoma" w:cs="Tahoma"/>
        </w:rPr>
        <w:t xml:space="preserve">El Municipio de </w:t>
      </w:r>
      <w:r w:rsidR="005A555A" w:rsidRPr="0081415E">
        <w:rPr>
          <w:rFonts w:ascii="Tahoma" w:hAnsi="Tahoma" w:cs="Tahoma"/>
        </w:rPr>
        <w:t xml:space="preserve">Herveo </w:t>
      </w:r>
      <w:r w:rsidRPr="0081415E">
        <w:rPr>
          <w:rFonts w:ascii="Tahoma" w:hAnsi="Tahoma" w:cs="Tahoma"/>
        </w:rPr>
        <w:t xml:space="preserve">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 según lo establecido en la Ley 617 de 2000.  </w:t>
      </w:r>
    </w:p>
    <w:p w:rsidR="00BB691C" w:rsidRPr="00E924E2" w:rsidRDefault="00BB691C" w:rsidP="00BB691C">
      <w:pPr>
        <w:spacing w:after="0"/>
        <w:jc w:val="both"/>
        <w:rPr>
          <w:rFonts w:ascii="Tahoma" w:hAnsi="Tahoma" w:cs="Tahoma"/>
          <w:b/>
        </w:rPr>
      </w:pPr>
    </w:p>
    <w:p w:rsidR="00BB691C" w:rsidRPr="00E924E2" w:rsidRDefault="00BB691C" w:rsidP="00BB691C">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Pr>
          <w:rFonts w:ascii="Tahoma" w:hAnsi="Tahoma" w:cs="Tahoma"/>
          <w:b/>
          <w:bCs/>
          <w:sz w:val="22"/>
          <w:szCs w:val="22"/>
        </w:rPr>
        <w:t>1</w:t>
      </w:r>
      <w:r w:rsidRPr="00E924E2">
        <w:rPr>
          <w:rFonts w:ascii="Tahoma" w:hAnsi="Tahoma" w:cs="Tahoma"/>
          <w:b/>
          <w:bCs/>
          <w:sz w:val="22"/>
          <w:szCs w:val="22"/>
        </w:rPr>
        <w:t xml:space="preserve">  </w:t>
      </w:r>
      <w:r>
        <w:rPr>
          <w:rFonts w:ascii="Tahoma" w:hAnsi="Tahoma" w:cs="Tahoma"/>
          <w:b/>
          <w:bCs/>
          <w:sz w:val="22"/>
          <w:szCs w:val="22"/>
        </w:rPr>
        <w:t>Indicador de Gastos de</w:t>
      </w:r>
      <w:r w:rsidRPr="00E924E2">
        <w:rPr>
          <w:rFonts w:ascii="Tahoma" w:hAnsi="Tahoma" w:cs="Tahoma"/>
          <w:b/>
          <w:sz w:val="22"/>
          <w:szCs w:val="22"/>
        </w:rPr>
        <w:t xml:space="preserve"> Funcionamiento</w:t>
      </w:r>
      <w:r>
        <w:rPr>
          <w:rFonts w:ascii="Tahoma" w:hAnsi="Tahoma" w:cs="Tahoma"/>
          <w:b/>
          <w:sz w:val="22"/>
          <w:szCs w:val="22"/>
        </w:rPr>
        <w:t xml:space="preserve">  VS  I.C.L.D</w:t>
      </w:r>
    </w:p>
    <w:p w:rsidR="00BB691C" w:rsidRDefault="00BB691C" w:rsidP="00BB691C">
      <w:pPr>
        <w:pStyle w:val="NormalWeb"/>
        <w:spacing w:before="0" w:beforeAutospacing="0" w:after="0" w:afterAutospacing="0"/>
        <w:rPr>
          <w:rFonts w:ascii="Tahoma" w:hAnsi="Tahoma" w:cs="Tahoma"/>
          <w:b/>
          <w:sz w:val="22"/>
          <w:szCs w:val="22"/>
        </w:rPr>
      </w:pPr>
    </w:p>
    <w:p w:rsidR="00BB691C" w:rsidRDefault="00BB691C" w:rsidP="00BB691C">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Gastos de Funcionamiento / Ingre</w:t>
      </w:r>
      <w:r w:rsidR="00E702D1">
        <w:rPr>
          <w:rFonts w:ascii="Tahoma" w:hAnsi="Tahoma" w:cs="Tahoma"/>
          <w:b/>
          <w:sz w:val="22"/>
          <w:szCs w:val="22"/>
        </w:rPr>
        <w:t>sos Corriente Libre Destinación.</w:t>
      </w:r>
    </w:p>
    <w:p w:rsidR="00E702D1" w:rsidRDefault="00E702D1" w:rsidP="00BB691C">
      <w:pPr>
        <w:pStyle w:val="NormalWeb"/>
        <w:spacing w:before="0" w:beforeAutospacing="0" w:after="0" w:afterAutospacing="0"/>
        <w:rPr>
          <w:rFonts w:ascii="Tahoma" w:hAnsi="Tahoma" w:cs="Tahoma"/>
          <w:b/>
          <w:sz w:val="22"/>
          <w:szCs w:val="22"/>
        </w:rPr>
      </w:pPr>
    </w:p>
    <w:p w:rsidR="00E702D1" w:rsidRPr="00E702D1" w:rsidRDefault="00E702D1" w:rsidP="00E702D1">
      <w:pPr>
        <w:shd w:val="clear" w:color="auto" w:fill="EAF5FF"/>
        <w:spacing w:after="0" w:line="240" w:lineRule="auto"/>
        <w:jc w:val="center"/>
        <w:rPr>
          <w:rFonts w:ascii="Arial" w:eastAsia="Times New Roman" w:hAnsi="Arial" w:cs="Arial"/>
          <w:color w:val="000000"/>
          <w:sz w:val="20"/>
          <w:szCs w:val="20"/>
          <w:lang w:val="es-CO" w:eastAsia="es-CO"/>
        </w:rPr>
      </w:pPr>
      <w:r w:rsidRPr="00E702D1">
        <w:rPr>
          <w:rFonts w:ascii="Arial" w:eastAsia="Times New Roman" w:hAnsi="Arial" w:cs="Arial"/>
          <w:b/>
          <w:bCs/>
          <w:color w:val="000000"/>
          <w:sz w:val="20"/>
          <w:szCs w:val="20"/>
          <w:lang w:val="es-CO" w:eastAsia="es-CO"/>
        </w:rPr>
        <w:t>CONTRALORÍA GENERAL DE LA REPÚBLICA</w:t>
      </w:r>
    </w:p>
    <w:p w:rsidR="00E702D1" w:rsidRPr="00E702D1" w:rsidRDefault="00E702D1" w:rsidP="00E702D1">
      <w:pPr>
        <w:shd w:val="clear" w:color="auto" w:fill="EAF5FF"/>
        <w:spacing w:after="0" w:line="240" w:lineRule="auto"/>
        <w:jc w:val="center"/>
        <w:rPr>
          <w:rFonts w:ascii="Arial" w:eastAsia="Times New Roman" w:hAnsi="Arial" w:cs="Arial"/>
          <w:color w:val="000000"/>
          <w:sz w:val="20"/>
          <w:szCs w:val="20"/>
          <w:lang w:val="es-CO" w:eastAsia="es-CO"/>
        </w:rPr>
      </w:pPr>
      <w:r w:rsidRPr="00E702D1">
        <w:rPr>
          <w:rFonts w:ascii="Arial" w:eastAsia="Times New Roman" w:hAnsi="Arial" w:cs="Arial"/>
          <w:b/>
          <w:bCs/>
          <w:color w:val="000000"/>
          <w:sz w:val="20"/>
          <w:szCs w:val="20"/>
          <w:lang w:val="es-CO" w:eastAsia="es-CO"/>
        </w:rPr>
        <w:t>CONTRALORÍA DELEGADA PARA ECONOMÍA Y FINANZAS PÚBLICAS</w:t>
      </w:r>
    </w:p>
    <w:p w:rsidR="00E702D1" w:rsidRPr="00E702D1" w:rsidRDefault="00E702D1" w:rsidP="00E702D1">
      <w:pPr>
        <w:shd w:val="clear" w:color="auto" w:fill="EAF5FF"/>
        <w:spacing w:after="0" w:line="240" w:lineRule="auto"/>
        <w:jc w:val="center"/>
        <w:rPr>
          <w:rFonts w:ascii="Times New Roman" w:eastAsia="Times New Roman" w:hAnsi="Times New Roman" w:cs="Times New Roman"/>
          <w:sz w:val="24"/>
          <w:szCs w:val="24"/>
          <w:lang w:val="es-CO" w:eastAsia="es-CO"/>
        </w:rPr>
      </w:pPr>
      <w:r w:rsidRPr="00E702D1">
        <w:rPr>
          <w:rFonts w:ascii="Arial" w:eastAsia="Times New Roman" w:hAnsi="Arial" w:cs="Arial"/>
          <w:b/>
          <w:bCs/>
          <w:color w:val="000000"/>
          <w:sz w:val="20"/>
          <w:szCs w:val="20"/>
          <w:lang w:val="es-CO" w:eastAsia="es-CO"/>
        </w:rPr>
        <w:t>DIRECCIÓN DE CUENTAS Y ESTADÍSTICAS FISCALES</w:t>
      </w:r>
    </w:p>
    <w:p w:rsidR="00E702D1" w:rsidRPr="00E702D1" w:rsidRDefault="00E702D1" w:rsidP="00E702D1">
      <w:pPr>
        <w:shd w:val="clear" w:color="auto" w:fill="EAF5FF"/>
        <w:spacing w:after="0" w:line="240" w:lineRule="auto"/>
        <w:jc w:val="center"/>
        <w:rPr>
          <w:rFonts w:ascii="Arial" w:eastAsia="Times New Roman" w:hAnsi="Arial" w:cs="Arial"/>
          <w:color w:val="000000"/>
          <w:sz w:val="20"/>
          <w:szCs w:val="20"/>
          <w:lang w:val="es-CO" w:eastAsia="es-CO"/>
        </w:rPr>
      </w:pPr>
      <w:r w:rsidRPr="00E702D1">
        <w:rPr>
          <w:rFonts w:ascii="Arial" w:eastAsia="Times New Roman" w:hAnsi="Arial" w:cs="Arial"/>
          <w:b/>
          <w:bCs/>
          <w:color w:val="000000"/>
          <w:sz w:val="20"/>
          <w:szCs w:val="20"/>
          <w:lang w:val="es-CO" w:eastAsia="es-CO"/>
        </w:rPr>
        <w:t>CONSULTA DATOS CERTIFICACIÓN LEY 617/00</w:t>
      </w:r>
    </w:p>
    <w:tbl>
      <w:tblPr>
        <w:tblW w:w="8400"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E702D1" w:rsidRPr="00E702D1" w:rsidTr="00E702D1">
        <w:trPr>
          <w:tblCellSpacing w:w="15" w:type="dxa"/>
          <w:jc w:val="center"/>
        </w:trPr>
        <w:tc>
          <w:tcPr>
            <w:tcW w:w="0" w:type="auto"/>
            <w:shd w:val="clear" w:color="auto" w:fill="EAF5FF"/>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p>
        </w:tc>
      </w:tr>
      <w:tr w:rsidR="00E702D1" w:rsidRPr="00E702D1" w:rsidTr="00E702D1">
        <w:trPr>
          <w:tblCellSpacing w:w="15" w:type="dxa"/>
          <w:jc w:val="center"/>
        </w:trPr>
        <w:tc>
          <w:tcPr>
            <w:tcW w:w="0" w:type="auto"/>
            <w:shd w:val="clear" w:color="auto" w:fill="EAF5FF"/>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p>
        </w:tc>
      </w:tr>
      <w:tr w:rsidR="00E702D1" w:rsidRPr="00E702D1" w:rsidTr="00E702D1">
        <w:trPr>
          <w:tblCellSpacing w:w="15" w:type="dxa"/>
          <w:jc w:val="center"/>
        </w:trPr>
        <w:tc>
          <w:tcPr>
            <w:tcW w:w="0" w:type="auto"/>
            <w:shd w:val="clear" w:color="auto" w:fill="EAF5FF"/>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p>
        </w:tc>
      </w:tr>
      <w:tr w:rsidR="00E702D1" w:rsidRPr="00E702D1" w:rsidTr="00E702D1">
        <w:trPr>
          <w:tblCellSpacing w:w="15" w:type="dxa"/>
          <w:jc w:val="center"/>
        </w:trPr>
        <w:tc>
          <w:tcPr>
            <w:tcW w:w="0" w:type="auto"/>
            <w:shd w:val="clear" w:color="auto" w:fill="EAF5FF"/>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p>
        </w:tc>
      </w:tr>
      <w:tr w:rsidR="00E702D1" w:rsidRPr="00E702D1" w:rsidTr="00E702D1">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020"/>
              <w:gridCol w:w="4380"/>
            </w:tblGrid>
            <w:tr w:rsidR="00E702D1" w:rsidRPr="00E702D1">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TOLIMA</w:t>
                  </w:r>
                </w:p>
              </w:tc>
            </w:tr>
            <w:tr w:rsidR="00E702D1" w:rsidRPr="00E702D1">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214773347 - HERVEO</w:t>
                  </w:r>
                </w:p>
              </w:tc>
            </w:tr>
            <w:tr w:rsidR="00E702D1" w:rsidRPr="00E702D1">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2015</w:t>
                  </w:r>
                </w:p>
              </w:tc>
            </w:tr>
            <w:tr w:rsidR="00E702D1" w:rsidRPr="00E702D1">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Sexta</w:t>
                  </w:r>
                </w:p>
              </w:tc>
            </w:tr>
            <w:tr w:rsidR="00E702D1" w:rsidRPr="00E702D1">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80%</w:t>
                  </w:r>
                </w:p>
              </w:tc>
            </w:tr>
            <w:tr w:rsidR="00E702D1" w:rsidRPr="00E702D1">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Procede la Certificación de la Entidad.</w:t>
                  </w:r>
                </w:p>
              </w:tc>
            </w:tr>
          </w:tbl>
          <w:p w:rsidR="00E702D1" w:rsidRPr="00E702D1" w:rsidRDefault="00E702D1" w:rsidP="00E702D1">
            <w:pPr>
              <w:spacing w:after="0" w:line="240" w:lineRule="auto"/>
              <w:jc w:val="center"/>
              <w:rPr>
                <w:rFonts w:ascii="Arial" w:eastAsia="Times New Roman" w:hAnsi="Arial" w:cs="Arial"/>
                <w:sz w:val="18"/>
                <w:szCs w:val="18"/>
                <w:lang w:val="es-CO" w:eastAsia="es-CO"/>
              </w:rPr>
            </w:pPr>
          </w:p>
        </w:tc>
      </w:tr>
      <w:tr w:rsidR="00E702D1" w:rsidRPr="00E702D1" w:rsidTr="00E702D1">
        <w:trPr>
          <w:tblCellSpacing w:w="15" w:type="dxa"/>
          <w:jc w:val="center"/>
        </w:trPr>
        <w:tc>
          <w:tcPr>
            <w:tcW w:w="0" w:type="auto"/>
            <w:shd w:val="clear" w:color="auto" w:fill="EAF5FF"/>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Ingresos Corrientes de Libre Destinación (ICLD)</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90"/>
              <w:gridCol w:w="4545"/>
              <w:gridCol w:w="1965"/>
            </w:tblGrid>
            <w:tr w:rsidR="00E702D1" w:rsidRPr="00E702D1">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p>
              </w:tc>
            </w:tr>
            <w:tr w:rsidR="00E702D1" w:rsidRPr="00E702D1">
              <w:trPr>
                <w:tblCellSpacing w:w="6" w:type="dxa"/>
                <w:jc w:val="center"/>
              </w:trPr>
              <w:tc>
                <w:tcPr>
                  <w:tcW w:w="1200" w:type="dxa"/>
                  <w:tcBorders>
                    <w:top w:val="outset" w:sz="6" w:space="0" w:color="auto"/>
                    <w:left w:val="outset" w:sz="6" w:space="0" w:color="auto"/>
                    <w:bottom w:val="outset" w:sz="6" w:space="0" w:color="auto"/>
                    <w:right w:val="outset" w:sz="6" w:space="0" w:color="auto"/>
                  </w:tcBorders>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Ejecución (Miles de Pesos)</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1.1.01.01.40</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Predial Unificado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149.610</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1.1.01.02.39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Industria y Comercio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263.215</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1.1.01.02.45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Avisos y Tableros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10.492</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1.1.01.02.53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Impuesto de Ocupación de Vías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150</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1.1.01.02.57</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Degüello de Ganado Menor</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1.411</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1.1.01.02.61.01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Sobretasa Consumo Gasolina Motor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50.523</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1.1.01.02.65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Alumbrado Público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262.364</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1.1.01.02.69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Registro de Marcas y Herretes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130</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1.1.02.01.01.03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Sistematización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298</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1.1.02.01.01.09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Plaza de Mercado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601</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1.1.02.01.01.19</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Expedición de Certificados y Paz y Salvos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2.941</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1.1.02.01.03.15</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Intereses moratorios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42.869</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1.1.02.01.03.98</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Otras Multas y Sanciones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3.308</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1.1.02.02.01.01.01.01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Sistema General de Participaciones Propósito General Libre Destinación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717.646</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lastRenderedPageBreak/>
                    <w:t>1.1.02.02.01.03.01.01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De Vehículos Automotores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3.432</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TOTAL 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1.508.990</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1.508.990</w:t>
                  </w:r>
                </w:p>
              </w:tc>
            </w:tr>
          </w:tbl>
          <w:p w:rsidR="00E702D1" w:rsidRPr="00E702D1" w:rsidRDefault="00E702D1" w:rsidP="00E702D1">
            <w:pPr>
              <w:spacing w:after="0" w:line="240" w:lineRule="auto"/>
              <w:jc w:val="center"/>
              <w:rPr>
                <w:rFonts w:ascii="Arial" w:eastAsia="Times New Roman" w:hAnsi="Arial" w:cs="Arial"/>
                <w:sz w:val="18"/>
                <w:szCs w:val="18"/>
                <w:lang w:val="es-CO" w:eastAsia="es-CO"/>
              </w:rPr>
            </w:pPr>
          </w:p>
        </w:tc>
      </w:tr>
      <w:tr w:rsidR="00E702D1" w:rsidRPr="00E702D1" w:rsidTr="00E702D1">
        <w:trPr>
          <w:tblCellSpacing w:w="15" w:type="dxa"/>
          <w:jc w:val="center"/>
        </w:trPr>
        <w:tc>
          <w:tcPr>
            <w:tcW w:w="0" w:type="auto"/>
            <w:shd w:val="clear" w:color="auto" w:fill="EAF5FF"/>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lastRenderedPageBreak/>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E702D1" w:rsidRPr="00E702D1">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p>
              </w:tc>
            </w:tr>
            <w:tr w:rsidR="00E702D1" w:rsidRPr="00E702D1">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Ejecución (Miles de Pesos)</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636.476</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224.807</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2.1.03</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Transferencias Corrientes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41.883</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2.1.96</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Déficit de Funcionamiento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111.898</w:t>
                  </w:r>
                </w:p>
              </w:tc>
            </w:tr>
            <w:tr w:rsidR="00E702D1" w:rsidRPr="00E702D1">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rPr>
                      <w:rFonts w:ascii="Arial" w:eastAsia="Times New Roman" w:hAnsi="Arial" w:cs="Arial"/>
                      <w:sz w:val="18"/>
                      <w:szCs w:val="18"/>
                      <w:lang w:val="es-CO" w:eastAsia="es-CO"/>
                    </w:rPr>
                  </w:pPr>
                  <w:r w:rsidRPr="00E702D1">
                    <w:rPr>
                      <w:rFonts w:ascii="Arial" w:eastAsia="Times New Roman" w:hAnsi="Arial" w:cs="Arial"/>
                      <w:sz w:val="18"/>
                      <w:szCs w:val="18"/>
                      <w:lang w:val="es-CO" w:eastAsia="es-CO"/>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1.015.064</w:t>
                  </w:r>
                </w:p>
              </w:tc>
            </w:tr>
          </w:tbl>
          <w:p w:rsidR="00E702D1" w:rsidRPr="00E702D1" w:rsidRDefault="00E702D1" w:rsidP="00E702D1">
            <w:pPr>
              <w:spacing w:after="0" w:line="240" w:lineRule="auto"/>
              <w:jc w:val="center"/>
              <w:rPr>
                <w:rFonts w:ascii="Arial" w:eastAsia="Times New Roman" w:hAnsi="Arial" w:cs="Arial"/>
                <w:sz w:val="18"/>
                <w:szCs w:val="18"/>
                <w:lang w:val="es-CO" w:eastAsia="es-CO"/>
              </w:rPr>
            </w:pPr>
          </w:p>
        </w:tc>
      </w:tr>
      <w:tr w:rsidR="00E702D1" w:rsidRPr="00E702D1" w:rsidTr="00E702D1">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29"/>
              <w:gridCol w:w="1171"/>
            </w:tblGrid>
            <w:tr w:rsidR="00E702D1" w:rsidRPr="00E702D1">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67,27%</w:t>
                  </w:r>
                </w:p>
              </w:tc>
            </w:tr>
            <w:tr w:rsidR="00E702D1" w:rsidRPr="00E702D1">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center"/>
                    <w:rPr>
                      <w:rFonts w:ascii="Arial" w:eastAsia="Times New Roman" w:hAnsi="Arial" w:cs="Arial"/>
                      <w:sz w:val="18"/>
                      <w:szCs w:val="18"/>
                      <w:lang w:val="es-CO" w:eastAsia="es-CO"/>
                    </w:rPr>
                  </w:pPr>
                  <w:proofErr w:type="spellStart"/>
                  <w:r w:rsidRPr="00E702D1">
                    <w:rPr>
                      <w:rFonts w:ascii="Arial" w:eastAsia="Times New Roman" w:hAnsi="Arial" w:cs="Arial"/>
                      <w:b/>
                      <w:bCs/>
                      <w:sz w:val="18"/>
                      <w:szCs w:val="18"/>
                      <w:lang w:val="es-CO" w:eastAsia="es-CO"/>
                    </w:rPr>
                    <w:t>Limte</w:t>
                  </w:r>
                  <w:proofErr w:type="spellEnd"/>
                  <w:r w:rsidRPr="00E702D1">
                    <w:rPr>
                      <w:rFonts w:ascii="Arial" w:eastAsia="Times New Roman" w:hAnsi="Arial" w:cs="Arial"/>
                      <w:b/>
                      <w:bCs/>
                      <w:sz w:val="18"/>
                      <w:szCs w:val="18"/>
                      <w:lang w:val="es-CO" w:eastAsia="es-CO"/>
                    </w:rPr>
                    <w:t xml:space="preserv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E702D1" w:rsidRPr="00E702D1" w:rsidRDefault="00E702D1" w:rsidP="00E702D1">
                  <w:pPr>
                    <w:spacing w:after="0" w:line="240" w:lineRule="auto"/>
                    <w:jc w:val="right"/>
                    <w:rPr>
                      <w:rFonts w:ascii="Arial" w:eastAsia="Times New Roman" w:hAnsi="Arial" w:cs="Arial"/>
                      <w:sz w:val="18"/>
                      <w:szCs w:val="18"/>
                      <w:lang w:val="es-CO" w:eastAsia="es-CO"/>
                    </w:rPr>
                  </w:pPr>
                  <w:r w:rsidRPr="00E702D1">
                    <w:rPr>
                      <w:rFonts w:ascii="Arial" w:eastAsia="Times New Roman" w:hAnsi="Arial" w:cs="Arial"/>
                      <w:b/>
                      <w:bCs/>
                      <w:sz w:val="18"/>
                      <w:szCs w:val="18"/>
                      <w:lang w:val="es-CO" w:eastAsia="es-CO"/>
                    </w:rPr>
                    <w:t>12,73%</w:t>
                  </w:r>
                </w:p>
              </w:tc>
            </w:tr>
          </w:tbl>
          <w:p w:rsidR="00E702D1" w:rsidRPr="00E702D1" w:rsidRDefault="00E702D1" w:rsidP="00E702D1">
            <w:pPr>
              <w:spacing w:after="0" w:line="240" w:lineRule="auto"/>
              <w:jc w:val="center"/>
              <w:rPr>
                <w:rFonts w:ascii="Arial" w:eastAsia="Times New Roman" w:hAnsi="Arial" w:cs="Arial"/>
                <w:sz w:val="18"/>
                <w:szCs w:val="18"/>
                <w:lang w:val="es-CO" w:eastAsia="es-CO"/>
              </w:rPr>
            </w:pPr>
          </w:p>
        </w:tc>
      </w:tr>
    </w:tbl>
    <w:p w:rsidR="001A6B6C" w:rsidRPr="00AC2164" w:rsidRDefault="001A6B6C" w:rsidP="001A6B6C">
      <w:pPr>
        <w:spacing w:after="0"/>
        <w:rPr>
          <w:rFonts w:eastAsia="Times New Roman"/>
          <w:sz w:val="18"/>
          <w:szCs w:val="18"/>
        </w:rPr>
      </w:pPr>
      <w:r>
        <w:rPr>
          <w:rFonts w:eastAsia="Times New Roman"/>
          <w:sz w:val="18"/>
          <w:szCs w:val="18"/>
        </w:rPr>
        <w:t>Información tomada de la página de la Contraloría General de la República</w:t>
      </w:r>
    </w:p>
    <w:p w:rsidR="00BB691C" w:rsidRPr="00E702D1" w:rsidRDefault="00BB691C" w:rsidP="00BB691C">
      <w:pPr>
        <w:pStyle w:val="Ttulo2"/>
        <w:jc w:val="both"/>
        <w:rPr>
          <w:rFonts w:ascii="Tahoma" w:hAnsi="Tahoma" w:cs="Tahoma"/>
          <w:b w:val="0"/>
          <w:color w:val="auto"/>
          <w:sz w:val="22"/>
          <w:lang w:val="es-CO"/>
        </w:rPr>
      </w:pPr>
      <w:r w:rsidRPr="00E702D1">
        <w:rPr>
          <w:rFonts w:ascii="Tahoma" w:hAnsi="Tahoma" w:cs="Tahoma"/>
          <w:b w:val="0"/>
          <w:color w:val="auto"/>
          <w:sz w:val="22"/>
          <w:lang w:val="es-CO"/>
        </w:rPr>
        <w:t>Teniendo en cuenta la certificación de Ingresos corrientes de Libre Destinación expedida por la Contraloría General de la República y la Ejecución presupuestal de Ingresos y Gastos, se evid</w:t>
      </w:r>
      <w:r w:rsidR="001A6B6C" w:rsidRPr="00E702D1">
        <w:rPr>
          <w:rFonts w:ascii="Tahoma" w:hAnsi="Tahoma" w:cs="Tahoma"/>
          <w:b w:val="0"/>
          <w:color w:val="auto"/>
          <w:sz w:val="22"/>
          <w:lang w:val="es-CO"/>
        </w:rPr>
        <w:t>enció que el Municipio de</w:t>
      </w:r>
      <w:r w:rsidR="005A555A" w:rsidRPr="00E702D1">
        <w:rPr>
          <w:color w:val="auto"/>
        </w:rPr>
        <w:t xml:space="preserve"> </w:t>
      </w:r>
      <w:r w:rsidR="005A555A" w:rsidRPr="00E702D1">
        <w:rPr>
          <w:rFonts w:ascii="Tahoma" w:hAnsi="Tahoma" w:cs="Tahoma"/>
          <w:b w:val="0"/>
          <w:color w:val="auto"/>
          <w:sz w:val="22"/>
          <w:lang w:val="es-CO"/>
        </w:rPr>
        <w:t>Herveo</w:t>
      </w:r>
      <w:r w:rsidRPr="00E702D1">
        <w:rPr>
          <w:rFonts w:ascii="Tahoma" w:hAnsi="Tahoma" w:cs="Tahoma"/>
          <w:b w:val="0"/>
          <w:color w:val="auto"/>
          <w:sz w:val="22"/>
          <w:lang w:val="es-CO"/>
        </w:rPr>
        <w:t xml:space="preserve"> </w:t>
      </w:r>
      <w:r w:rsidRPr="00E702D1">
        <w:rPr>
          <w:rFonts w:ascii="Tahoma" w:hAnsi="Tahoma" w:cs="Tahoma"/>
          <w:color w:val="auto"/>
          <w:sz w:val="22"/>
          <w:lang w:val="es-CO"/>
        </w:rPr>
        <w:t>CUMPLE</w:t>
      </w:r>
      <w:r w:rsidRPr="00E702D1">
        <w:rPr>
          <w:rFonts w:ascii="Tahoma" w:hAnsi="Tahoma" w:cs="Tahoma"/>
          <w:b w:val="0"/>
          <w:color w:val="auto"/>
          <w:sz w:val="22"/>
          <w:lang w:val="es-CO"/>
        </w:rPr>
        <w:t xml:space="preserve"> con el indicador de ley 617 de 2000, toda vez que los Gastos de funcionamiento para la vigen</w:t>
      </w:r>
      <w:r w:rsidR="00F674ED" w:rsidRPr="00E702D1">
        <w:rPr>
          <w:rFonts w:ascii="Tahoma" w:hAnsi="Tahoma" w:cs="Tahoma"/>
          <w:b w:val="0"/>
          <w:color w:val="auto"/>
          <w:sz w:val="22"/>
          <w:lang w:val="es-CO"/>
        </w:rPr>
        <w:t>cia fiscal 2015 fueron del 67.27</w:t>
      </w:r>
      <w:r w:rsidRPr="00E702D1">
        <w:rPr>
          <w:rFonts w:ascii="Tahoma" w:hAnsi="Tahoma" w:cs="Tahoma"/>
          <w:color w:val="auto"/>
          <w:sz w:val="22"/>
          <w:lang w:val="es-CO"/>
        </w:rPr>
        <w:t>%</w:t>
      </w:r>
      <w:r w:rsidRPr="00E702D1">
        <w:rPr>
          <w:rFonts w:ascii="Tahoma" w:hAnsi="Tahoma" w:cs="Tahoma"/>
          <w:b w:val="0"/>
          <w:color w:val="auto"/>
          <w:sz w:val="22"/>
          <w:lang w:val="es-CO"/>
        </w:rPr>
        <w:t xml:space="preserve"> dónde el límite máximo es del 80%.</w:t>
      </w:r>
    </w:p>
    <w:p w:rsidR="00BB691C" w:rsidRDefault="00BB691C" w:rsidP="00BB691C">
      <w:pPr>
        <w:spacing w:after="0"/>
        <w:jc w:val="both"/>
        <w:rPr>
          <w:rFonts w:ascii="Tahoma" w:eastAsia="Times New Roman" w:hAnsi="Tahoma" w:cs="Tahoma"/>
          <w:b/>
          <w:bCs/>
        </w:rPr>
      </w:pPr>
    </w:p>
    <w:p w:rsidR="00BB691C" w:rsidRPr="00163FB1" w:rsidRDefault="00BB691C" w:rsidP="00BB691C">
      <w:pPr>
        <w:spacing w:after="0"/>
        <w:jc w:val="both"/>
        <w:rPr>
          <w:rFonts w:ascii="Tahoma" w:eastAsia="Times New Roman" w:hAnsi="Tahoma" w:cs="Tahoma"/>
          <w:b/>
          <w:bCs/>
        </w:rPr>
      </w:pPr>
      <w:r w:rsidRPr="00163FB1">
        <w:rPr>
          <w:rFonts w:ascii="Tahoma" w:eastAsia="Times New Roman" w:hAnsi="Tahoma" w:cs="Tahoma"/>
          <w:b/>
          <w:bCs/>
        </w:rPr>
        <w:t>GASTOS DE LAS CORPORACIONES PÚBLICAS – CONCEJO MUNICIPAL</w:t>
      </w:r>
    </w:p>
    <w:p w:rsidR="00BB691C" w:rsidRPr="00163FB1" w:rsidRDefault="00BB691C" w:rsidP="00BB691C">
      <w:pPr>
        <w:spacing w:after="0"/>
        <w:jc w:val="both"/>
        <w:rPr>
          <w:rFonts w:ascii="Tahoma" w:eastAsia="Times New Roman" w:hAnsi="Tahoma" w:cs="Tahoma"/>
          <w:b/>
          <w:bCs/>
        </w:rPr>
      </w:pPr>
    </w:p>
    <w:p w:rsidR="00BB691C" w:rsidRDefault="00BB691C" w:rsidP="00BB691C">
      <w:pPr>
        <w:spacing w:after="0"/>
        <w:jc w:val="both"/>
        <w:rPr>
          <w:rFonts w:ascii="Tahoma" w:hAnsi="Tahoma" w:cs="Tahoma"/>
        </w:rPr>
      </w:pPr>
      <w:r w:rsidRPr="00163FB1">
        <w:rPr>
          <w:rFonts w:ascii="Tahoma" w:eastAsia="Times New Roman" w:hAnsi="Tahoma" w:cs="Tahoma"/>
          <w:bCs/>
        </w:rPr>
        <w:t xml:space="preserve">El ente Territorial para la vigencia 2015, le transfirió al Concejo Municipal la suma de </w:t>
      </w:r>
      <w:r w:rsidRPr="006453FD">
        <w:rPr>
          <w:rFonts w:ascii="Tahoma" w:eastAsia="Times New Roman" w:hAnsi="Tahoma" w:cs="Tahoma"/>
          <w:b/>
          <w:bCs/>
        </w:rPr>
        <w:t>$1</w:t>
      </w:r>
      <w:r w:rsidR="0033136F" w:rsidRPr="006453FD">
        <w:rPr>
          <w:rFonts w:ascii="Tahoma" w:eastAsia="Times New Roman" w:hAnsi="Tahoma" w:cs="Tahoma"/>
          <w:b/>
          <w:bCs/>
        </w:rPr>
        <w:t>09</w:t>
      </w:r>
      <w:r w:rsidRPr="00163FB1">
        <w:rPr>
          <w:rFonts w:ascii="Tahoma" w:hAnsi="Tahoma" w:cs="Tahoma"/>
        </w:rPr>
        <w:t xml:space="preserve"> millones</w:t>
      </w:r>
      <w:r w:rsidRPr="00163FB1">
        <w:rPr>
          <w:rFonts w:ascii="Tahoma" w:eastAsia="Times New Roman" w:hAnsi="Tahoma" w:cs="Tahoma"/>
          <w:bCs/>
        </w:rPr>
        <w:t xml:space="preserve">, de los cuales </w:t>
      </w:r>
      <w:r w:rsidRPr="006453FD">
        <w:rPr>
          <w:rFonts w:ascii="Tahoma" w:eastAsia="Times New Roman" w:hAnsi="Tahoma" w:cs="Tahoma"/>
          <w:b/>
          <w:bCs/>
        </w:rPr>
        <w:t>$82</w:t>
      </w:r>
      <w:r w:rsidRPr="00163FB1">
        <w:rPr>
          <w:rFonts w:ascii="Tahoma" w:eastAsia="Times New Roman" w:hAnsi="Tahoma" w:cs="Tahoma"/>
          <w:bCs/>
        </w:rPr>
        <w:t xml:space="preserve"> </w:t>
      </w:r>
      <w:r w:rsidRPr="00163FB1">
        <w:rPr>
          <w:rFonts w:ascii="Tahoma" w:hAnsi="Tahoma" w:cs="Tahoma"/>
        </w:rPr>
        <w:t>millones</w:t>
      </w:r>
      <w:r w:rsidRPr="00163FB1">
        <w:rPr>
          <w:rFonts w:ascii="Tahoma" w:eastAsia="Times New Roman" w:hAnsi="Tahoma" w:cs="Tahoma"/>
          <w:bCs/>
        </w:rPr>
        <w:t xml:space="preserve"> correspondieron a honorarios de Concejales y </w:t>
      </w:r>
      <w:r w:rsidRPr="006453FD">
        <w:rPr>
          <w:rFonts w:ascii="Tahoma" w:eastAsia="Times New Roman" w:hAnsi="Tahoma" w:cs="Tahoma"/>
          <w:b/>
          <w:bCs/>
        </w:rPr>
        <w:t>$</w:t>
      </w:r>
      <w:r w:rsidR="0033136F" w:rsidRPr="006453FD">
        <w:rPr>
          <w:rFonts w:ascii="Tahoma" w:eastAsia="Times New Roman" w:hAnsi="Tahoma" w:cs="Tahoma"/>
          <w:b/>
          <w:bCs/>
        </w:rPr>
        <w:t>27</w:t>
      </w:r>
      <w:r w:rsidRPr="00163FB1">
        <w:rPr>
          <w:rFonts w:ascii="Tahoma" w:eastAsia="Times New Roman" w:hAnsi="Tahoma" w:cs="Tahoma"/>
          <w:bCs/>
        </w:rPr>
        <w:t xml:space="preserve"> </w:t>
      </w:r>
      <w:r w:rsidRPr="00163FB1">
        <w:rPr>
          <w:rFonts w:ascii="Tahoma" w:hAnsi="Tahoma" w:cs="Tahoma"/>
        </w:rPr>
        <w:t>millones</w:t>
      </w:r>
      <w:r w:rsidRPr="00163FB1">
        <w:rPr>
          <w:rFonts w:ascii="Tahoma" w:eastAsia="Times New Roman" w:hAnsi="Tahoma" w:cs="Tahoma"/>
          <w:bCs/>
        </w:rPr>
        <w:t xml:space="preserve"> para gastos de funcionamiento, </w:t>
      </w:r>
      <w:r>
        <w:rPr>
          <w:rFonts w:ascii="Tahoma" w:eastAsia="Times New Roman" w:hAnsi="Tahoma" w:cs="Tahoma"/>
          <w:bCs/>
        </w:rPr>
        <w:t xml:space="preserve">por lo tanto </w:t>
      </w:r>
      <w:r w:rsidRPr="00163FB1">
        <w:rPr>
          <w:rFonts w:ascii="Tahoma" w:eastAsia="Times New Roman" w:hAnsi="Tahoma" w:cs="Tahoma"/>
          <w:bCs/>
        </w:rPr>
        <w:t xml:space="preserve">el Municipio de </w:t>
      </w:r>
      <w:r w:rsidR="005A555A" w:rsidRPr="0033136F">
        <w:rPr>
          <w:rFonts w:ascii="Tahoma" w:hAnsi="Tahoma" w:cs="Tahoma"/>
        </w:rPr>
        <w:t>Herveo</w:t>
      </w:r>
      <w:r w:rsidR="0033136F" w:rsidRPr="0033136F">
        <w:rPr>
          <w:rFonts w:ascii="Tahoma" w:eastAsia="Times New Roman" w:hAnsi="Tahoma" w:cs="Tahoma"/>
          <w:b/>
          <w:bCs/>
        </w:rPr>
        <w:t xml:space="preserve">  NO </w:t>
      </w:r>
      <w:r w:rsidRPr="0033136F">
        <w:rPr>
          <w:rFonts w:ascii="Tahoma" w:eastAsia="Times New Roman" w:hAnsi="Tahoma" w:cs="Tahoma"/>
          <w:b/>
          <w:bCs/>
        </w:rPr>
        <w:t xml:space="preserve">dio </w:t>
      </w:r>
      <w:r w:rsidRPr="0033136F">
        <w:rPr>
          <w:rFonts w:ascii="Tahoma" w:hAnsi="Tahoma" w:cs="Tahoma"/>
          <w:b/>
        </w:rPr>
        <w:t>cumplimiento</w:t>
      </w:r>
      <w:r w:rsidRPr="0033136F">
        <w:rPr>
          <w:rFonts w:ascii="Tahoma" w:hAnsi="Tahoma" w:cs="Tahoma"/>
        </w:rPr>
        <w:t xml:space="preserve"> </w:t>
      </w:r>
      <w:r w:rsidRPr="00163FB1">
        <w:rPr>
          <w:rFonts w:ascii="Tahoma" w:hAnsi="Tahoma" w:cs="Tahoma"/>
        </w:rPr>
        <w:t xml:space="preserve">a lo establecido en la Ley 617 de 2000 artículo 10,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 Es decir, </w:t>
      </w:r>
      <w:r w:rsidR="00EA512F">
        <w:rPr>
          <w:rFonts w:ascii="Tahoma" w:hAnsi="Tahoma" w:cs="Tahoma"/>
        </w:rPr>
        <w:t>los gastos máximos de funcionamiento para el Municipio de Herveo Tolima vigencia 2015 fue</w:t>
      </w:r>
      <w:r w:rsidR="00354479">
        <w:rPr>
          <w:rFonts w:ascii="Tahoma" w:hAnsi="Tahoma" w:cs="Tahoma"/>
        </w:rPr>
        <w:t>ron</w:t>
      </w:r>
      <w:r w:rsidR="00EA512F">
        <w:rPr>
          <w:rFonts w:ascii="Tahoma" w:hAnsi="Tahoma" w:cs="Tahoma"/>
        </w:rPr>
        <w:t xml:space="preserve"> de </w:t>
      </w:r>
      <w:r w:rsidRPr="0033136F">
        <w:rPr>
          <w:rFonts w:ascii="Tahoma" w:hAnsi="Tahoma" w:cs="Tahoma"/>
          <w:b/>
        </w:rPr>
        <w:t>$</w:t>
      </w:r>
      <w:r w:rsidR="0033136F" w:rsidRPr="0033136F">
        <w:rPr>
          <w:rFonts w:ascii="Tahoma" w:hAnsi="Tahoma" w:cs="Tahoma"/>
          <w:b/>
        </w:rPr>
        <w:t>22.634.850</w:t>
      </w:r>
      <w:r w:rsidRPr="0033136F">
        <w:rPr>
          <w:rFonts w:ascii="Tahoma" w:hAnsi="Tahoma" w:cs="Tahoma"/>
          <w:b/>
        </w:rPr>
        <w:t>.oo</w:t>
      </w:r>
      <w:r>
        <w:rPr>
          <w:rFonts w:ascii="Tahoma" w:hAnsi="Tahoma" w:cs="Tahoma"/>
        </w:rPr>
        <w:t>.</w:t>
      </w:r>
    </w:p>
    <w:p w:rsidR="00BB691C" w:rsidRDefault="00BB691C" w:rsidP="00BB691C">
      <w:pPr>
        <w:spacing w:after="0"/>
        <w:jc w:val="both"/>
        <w:rPr>
          <w:rFonts w:ascii="Tahoma" w:hAnsi="Tahoma" w:cs="Tahoma"/>
        </w:rPr>
      </w:pPr>
    </w:p>
    <w:p w:rsidR="00BB691C" w:rsidRPr="00CA76CA" w:rsidRDefault="00BB691C" w:rsidP="00BB691C">
      <w:pPr>
        <w:spacing w:after="0"/>
        <w:jc w:val="both"/>
        <w:rPr>
          <w:rFonts w:ascii="Tahoma" w:eastAsia="Times New Roman" w:hAnsi="Tahoma" w:cs="Tahoma"/>
          <w:b/>
          <w:bCs/>
        </w:rPr>
      </w:pPr>
      <w:r w:rsidRPr="00CA76CA">
        <w:rPr>
          <w:rFonts w:ascii="Tahoma" w:eastAsia="Times New Roman" w:hAnsi="Tahoma" w:cs="Tahoma"/>
          <w:b/>
          <w:bCs/>
        </w:rPr>
        <w:t>GASTOS DE LAS PERSONERIAS</w:t>
      </w:r>
    </w:p>
    <w:p w:rsidR="00BB691C" w:rsidRPr="00CA76CA" w:rsidRDefault="00BB691C" w:rsidP="00BB691C">
      <w:pPr>
        <w:spacing w:after="0"/>
        <w:jc w:val="both"/>
        <w:rPr>
          <w:rFonts w:ascii="Tahoma" w:eastAsia="Times New Roman" w:hAnsi="Tahoma" w:cs="Tahoma"/>
          <w:bCs/>
        </w:rPr>
      </w:pPr>
    </w:p>
    <w:p w:rsidR="00BB691C" w:rsidRPr="00CA76CA" w:rsidRDefault="00BB691C" w:rsidP="00BB691C">
      <w:pPr>
        <w:spacing w:after="0"/>
        <w:jc w:val="both"/>
        <w:rPr>
          <w:rFonts w:ascii="Tahoma" w:eastAsia="Times New Roman" w:hAnsi="Tahoma" w:cs="Tahoma"/>
          <w:bCs/>
        </w:rPr>
      </w:pPr>
      <w:r w:rsidRPr="00CA76CA">
        <w:rPr>
          <w:rFonts w:ascii="Tahoma" w:eastAsia="Times New Roman" w:hAnsi="Tahoma" w:cs="Tahoma"/>
          <w:bCs/>
        </w:rPr>
        <w:t>La ley 617 de 2000, en su artículo 10, establece el valor máximo  de los gastos de funcionamiento para las Personerías Municipales de acuer</w:t>
      </w:r>
      <w:r>
        <w:rPr>
          <w:rFonts w:ascii="Tahoma" w:eastAsia="Times New Roman" w:hAnsi="Tahoma" w:cs="Tahoma"/>
          <w:bCs/>
        </w:rPr>
        <w:t>do a la categoría del Municipio. El M</w:t>
      </w:r>
      <w:r w:rsidRPr="00CA76CA">
        <w:rPr>
          <w:rFonts w:ascii="Tahoma" w:eastAsia="Times New Roman" w:hAnsi="Tahoma" w:cs="Tahoma"/>
          <w:bCs/>
        </w:rPr>
        <w:t xml:space="preserve">unicipio de </w:t>
      </w:r>
      <w:r w:rsidR="005A555A">
        <w:rPr>
          <w:rFonts w:ascii="Tahoma" w:hAnsi="Tahoma" w:cs="Tahoma"/>
        </w:rPr>
        <w:t>Herveo</w:t>
      </w:r>
      <w:r w:rsidR="005A555A" w:rsidRPr="00CA76CA">
        <w:rPr>
          <w:rFonts w:ascii="Tahoma" w:eastAsia="Times New Roman" w:hAnsi="Tahoma" w:cs="Tahoma"/>
          <w:bCs/>
        </w:rPr>
        <w:t xml:space="preserve"> </w:t>
      </w:r>
      <w:r w:rsidRPr="00CA76CA">
        <w:rPr>
          <w:rFonts w:ascii="Tahoma" w:eastAsia="Times New Roman" w:hAnsi="Tahoma" w:cs="Tahoma"/>
          <w:bCs/>
        </w:rPr>
        <w:t xml:space="preserve">se encuentra clasificado en Sexta Categoría, los gastos </w:t>
      </w:r>
      <w:r>
        <w:rPr>
          <w:rFonts w:ascii="Tahoma" w:eastAsia="Times New Roman" w:hAnsi="Tahoma" w:cs="Tahoma"/>
          <w:bCs/>
        </w:rPr>
        <w:t>de la personería no podrá</w:t>
      </w:r>
      <w:r w:rsidRPr="00CA76CA">
        <w:rPr>
          <w:rFonts w:ascii="Tahoma" w:eastAsia="Times New Roman" w:hAnsi="Tahoma" w:cs="Tahoma"/>
          <w:bCs/>
        </w:rPr>
        <w:t xml:space="preserve"> superar los 150 SMMV, es decir, para la vigencia 2015 la suma de </w:t>
      </w:r>
      <w:r w:rsidRPr="00760198">
        <w:rPr>
          <w:rFonts w:ascii="Tahoma" w:eastAsia="Times New Roman" w:hAnsi="Tahoma" w:cs="Tahoma"/>
          <w:b/>
          <w:bCs/>
        </w:rPr>
        <w:t>$96.652.500.oo</w:t>
      </w:r>
      <w:r>
        <w:rPr>
          <w:rFonts w:ascii="Tahoma" w:eastAsia="Times New Roman" w:hAnsi="Tahoma" w:cs="Tahoma"/>
          <w:b/>
          <w:bCs/>
        </w:rPr>
        <w:t>.</w:t>
      </w:r>
    </w:p>
    <w:p w:rsidR="00BB691C" w:rsidRPr="00CA76CA" w:rsidRDefault="00BB691C" w:rsidP="00BB691C">
      <w:pPr>
        <w:spacing w:after="0"/>
        <w:jc w:val="both"/>
        <w:rPr>
          <w:rFonts w:ascii="Tahoma" w:eastAsia="Times New Roman" w:hAnsi="Tahoma" w:cs="Tahoma"/>
          <w:bCs/>
        </w:rPr>
      </w:pPr>
    </w:p>
    <w:p w:rsidR="00BB691C" w:rsidRPr="00CA76CA" w:rsidRDefault="00BB691C" w:rsidP="00BB691C">
      <w:pPr>
        <w:spacing w:after="0"/>
        <w:jc w:val="both"/>
        <w:rPr>
          <w:rFonts w:ascii="Tahoma" w:eastAsia="Times New Roman" w:hAnsi="Tahoma" w:cs="Tahoma"/>
          <w:bCs/>
        </w:rPr>
      </w:pPr>
      <w:r w:rsidRPr="00227F78">
        <w:rPr>
          <w:rFonts w:ascii="Tahoma" w:eastAsia="Times New Roman" w:hAnsi="Tahoma" w:cs="Tahoma"/>
          <w:bCs/>
        </w:rPr>
        <w:t>Por lo anterior, se obs</w:t>
      </w:r>
      <w:r>
        <w:rPr>
          <w:rFonts w:ascii="Tahoma" w:eastAsia="Times New Roman" w:hAnsi="Tahoma" w:cs="Tahoma"/>
          <w:bCs/>
        </w:rPr>
        <w:t xml:space="preserve">ervó que la entidad Territorial </w:t>
      </w:r>
      <w:r w:rsidR="00354479" w:rsidRPr="00354479">
        <w:rPr>
          <w:rFonts w:ascii="Tahoma" w:eastAsia="Times New Roman" w:hAnsi="Tahoma" w:cs="Tahoma"/>
          <w:b/>
          <w:bCs/>
          <w:u w:val="single"/>
        </w:rPr>
        <w:t>C</w:t>
      </w:r>
      <w:r w:rsidRPr="00354479">
        <w:rPr>
          <w:rFonts w:ascii="Tahoma" w:eastAsia="Times New Roman" w:hAnsi="Tahoma" w:cs="Tahoma"/>
          <w:b/>
          <w:bCs/>
          <w:u w:val="single"/>
        </w:rPr>
        <w:t>umplió</w:t>
      </w:r>
      <w:r w:rsidRPr="00227F78">
        <w:rPr>
          <w:rFonts w:ascii="Tahoma" w:eastAsia="Times New Roman" w:hAnsi="Tahoma" w:cs="Tahoma"/>
          <w:bCs/>
        </w:rPr>
        <w:t xml:space="preserve"> con lo Establecido en la ley 617 de 2000, toda vez que le transfirió a la personería Municipal la suma de </w:t>
      </w:r>
      <w:r w:rsidR="00354479" w:rsidRPr="00760198">
        <w:rPr>
          <w:rFonts w:ascii="Tahoma" w:eastAsia="Times New Roman" w:hAnsi="Tahoma" w:cs="Tahoma"/>
          <w:b/>
          <w:bCs/>
        </w:rPr>
        <w:t>$96.652.500.oo</w:t>
      </w:r>
      <w:r w:rsidR="00354479">
        <w:rPr>
          <w:rFonts w:ascii="Tahoma" w:eastAsia="Times New Roman" w:hAnsi="Tahoma" w:cs="Tahoma"/>
          <w:bCs/>
        </w:rPr>
        <w:t>.</w:t>
      </w:r>
    </w:p>
    <w:p w:rsidR="00BB691C" w:rsidRDefault="00BB691C" w:rsidP="00BB691C">
      <w:pPr>
        <w:spacing w:after="0"/>
        <w:jc w:val="both"/>
        <w:rPr>
          <w:rFonts w:eastAsia="Times New Roman"/>
          <w:bCs/>
          <w:sz w:val="20"/>
          <w:szCs w:val="20"/>
        </w:rPr>
      </w:pPr>
    </w:p>
    <w:p w:rsidR="001A6B6C" w:rsidRDefault="001A6B6C" w:rsidP="00BB691C">
      <w:pPr>
        <w:spacing w:after="0"/>
        <w:jc w:val="both"/>
        <w:rPr>
          <w:rFonts w:eastAsia="Times New Roman"/>
          <w:bCs/>
          <w:sz w:val="20"/>
          <w:szCs w:val="20"/>
        </w:rPr>
      </w:pPr>
    </w:p>
    <w:p w:rsidR="001A6B6C" w:rsidRDefault="001A6B6C" w:rsidP="00BB691C">
      <w:pPr>
        <w:spacing w:after="0"/>
        <w:jc w:val="both"/>
        <w:rPr>
          <w:rFonts w:eastAsia="Times New Roman"/>
          <w:bCs/>
          <w:sz w:val="20"/>
          <w:szCs w:val="20"/>
        </w:rPr>
      </w:pPr>
    </w:p>
    <w:p w:rsidR="001A6B6C" w:rsidRPr="00A05F58" w:rsidRDefault="001A6B6C" w:rsidP="00BB691C">
      <w:pPr>
        <w:spacing w:after="0"/>
        <w:jc w:val="both"/>
        <w:rPr>
          <w:rFonts w:eastAsia="Times New Roman"/>
          <w:bCs/>
          <w:sz w:val="20"/>
          <w:szCs w:val="20"/>
        </w:rPr>
      </w:pPr>
    </w:p>
    <w:p w:rsidR="00BB691C" w:rsidRPr="00776215" w:rsidRDefault="00BB691C" w:rsidP="00BB691C">
      <w:pPr>
        <w:jc w:val="center"/>
        <w:rPr>
          <w:rFonts w:ascii="Tahoma" w:hAnsi="Tahoma" w:cs="Tahoma"/>
          <w:lang w:eastAsia="es-ES"/>
        </w:rPr>
      </w:pPr>
    </w:p>
    <w:p w:rsidR="00BB691C" w:rsidRDefault="00BB691C" w:rsidP="00BB691C">
      <w:pPr>
        <w:spacing w:after="0"/>
        <w:jc w:val="center"/>
        <w:rPr>
          <w:rFonts w:ascii="Tahoma" w:hAnsi="Tahoma" w:cs="Tahoma"/>
          <w:b/>
        </w:rPr>
      </w:pPr>
    </w:p>
    <w:p w:rsidR="00BB691C" w:rsidRPr="00776215" w:rsidRDefault="00BB691C" w:rsidP="00BB691C">
      <w:pPr>
        <w:spacing w:after="0"/>
        <w:jc w:val="center"/>
        <w:rPr>
          <w:rFonts w:ascii="Tahoma" w:hAnsi="Tahoma" w:cs="Tahoma"/>
          <w:b/>
        </w:rPr>
      </w:pPr>
      <w:r w:rsidRPr="00776215">
        <w:rPr>
          <w:rFonts w:ascii="Tahoma" w:hAnsi="Tahoma" w:cs="Tahoma"/>
          <w:b/>
        </w:rPr>
        <w:t>CAPITULO 4</w:t>
      </w:r>
    </w:p>
    <w:p w:rsidR="00BB691C" w:rsidRPr="00776215" w:rsidRDefault="00BB691C" w:rsidP="00BB691C">
      <w:pPr>
        <w:spacing w:after="0"/>
        <w:jc w:val="center"/>
        <w:rPr>
          <w:rFonts w:ascii="Tahoma" w:hAnsi="Tahoma" w:cs="Tahoma"/>
          <w:b/>
        </w:rPr>
      </w:pPr>
      <w:r w:rsidRPr="00776215">
        <w:rPr>
          <w:rFonts w:ascii="Tahoma" w:hAnsi="Tahoma" w:cs="Tahoma"/>
          <w:b/>
        </w:rPr>
        <w:t>RESULTADO ANALISIS</w:t>
      </w:r>
    </w:p>
    <w:p w:rsidR="00BB691C" w:rsidRPr="00776215" w:rsidRDefault="00BB691C" w:rsidP="00BB691C">
      <w:pPr>
        <w:spacing w:after="0"/>
        <w:jc w:val="center"/>
        <w:rPr>
          <w:rFonts w:ascii="Tahoma" w:hAnsi="Tahoma" w:cs="Tahoma"/>
          <w:b/>
        </w:rPr>
      </w:pPr>
    </w:p>
    <w:p w:rsidR="00BB691C" w:rsidRPr="00CA76CA" w:rsidRDefault="00BB691C" w:rsidP="00BB691C">
      <w:pPr>
        <w:rPr>
          <w:rFonts w:ascii="Tahoma" w:hAnsi="Tahoma" w:cs="Tahoma"/>
          <w:b/>
        </w:rPr>
      </w:pPr>
      <w:r w:rsidRPr="00776215">
        <w:rPr>
          <w:rFonts w:ascii="Tahoma" w:hAnsi="Tahoma" w:cs="Tahoma"/>
          <w:b/>
          <w:lang w:eastAsia="es-ES"/>
        </w:rPr>
        <w:t xml:space="preserve">4.1  </w:t>
      </w:r>
      <w:r w:rsidRPr="00CA76CA">
        <w:rPr>
          <w:rFonts w:ascii="Tahoma" w:hAnsi="Tahoma" w:cs="Tahoma"/>
          <w:b/>
        </w:rPr>
        <w:t>RESULTADO ANALISIS PRESUPUESTAL</w:t>
      </w:r>
    </w:p>
    <w:p w:rsidR="00BB691C" w:rsidRPr="00CA76CA" w:rsidRDefault="00BB691C" w:rsidP="00BB691C">
      <w:pPr>
        <w:rPr>
          <w:rFonts w:ascii="Tahoma" w:hAnsi="Tahoma" w:cs="Tahoma"/>
        </w:rPr>
      </w:pPr>
    </w:p>
    <w:p w:rsidR="00BB691C" w:rsidRPr="00CA76CA" w:rsidRDefault="00BB691C" w:rsidP="00BB691C">
      <w:pPr>
        <w:jc w:val="both"/>
        <w:rPr>
          <w:rFonts w:ascii="Tahoma" w:hAnsi="Tahoma" w:cs="Tahoma"/>
        </w:rPr>
      </w:pPr>
      <w:r w:rsidRPr="00CA76CA">
        <w:rPr>
          <w:rFonts w:ascii="Tahoma" w:hAnsi="Tahoma" w:cs="Tahoma"/>
        </w:rPr>
        <w:t xml:space="preserve">Una vez analizada la información presupuestal del municipio de </w:t>
      </w:r>
      <w:r w:rsidR="005A555A">
        <w:rPr>
          <w:rFonts w:ascii="Tahoma" w:hAnsi="Tahoma" w:cs="Tahoma"/>
        </w:rPr>
        <w:t>Herveo</w:t>
      </w:r>
      <w:r w:rsidR="005A555A" w:rsidRPr="00CA76CA">
        <w:rPr>
          <w:rFonts w:ascii="Tahoma" w:hAnsi="Tahoma" w:cs="Tahoma"/>
        </w:rPr>
        <w:t xml:space="preserve"> </w:t>
      </w:r>
      <w:r w:rsidRPr="00CA76CA">
        <w:rPr>
          <w:rFonts w:ascii="Tahoma" w:hAnsi="Tahoma" w:cs="Tahoma"/>
        </w:rPr>
        <w:t xml:space="preserve">a Diciembre 31 de 2015, se evidenció que el ente Territorial, presentó </w:t>
      </w:r>
      <w:r>
        <w:rPr>
          <w:rFonts w:ascii="Tahoma" w:hAnsi="Tahoma" w:cs="Tahoma"/>
        </w:rPr>
        <w:t xml:space="preserve">un  </w:t>
      </w:r>
      <w:r w:rsidRPr="004E212A">
        <w:rPr>
          <w:rFonts w:ascii="Tahoma" w:hAnsi="Tahoma" w:cs="Tahoma"/>
          <w:b/>
          <w:u w:val="single"/>
        </w:rPr>
        <w:t>Déficit presupuestal</w:t>
      </w:r>
      <w:r w:rsidRPr="00CA76CA">
        <w:rPr>
          <w:rFonts w:ascii="Tahoma" w:hAnsi="Tahoma" w:cs="Tahoma"/>
        </w:rPr>
        <w:t xml:space="preserve"> en la suma de $</w:t>
      </w:r>
      <w:r w:rsidR="0088599F">
        <w:rPr>
          <w:rFonts w:ascii="Tahoma" w:hAnsi="Tahoma" w:cs="Tahoma"/>
        </w:rPr>
        <w:t>1.139.277.807.oo</w:t>
      </w:r>
      <w:r w:rsidRPr="00CA76CA">
        <w:rPr>
          <w:rFonts w:ascii="Tahoma" w:hAnsi="Tahoma" w:cs="Tahoma"/>
        </w:rPr>
        <w:t>, toda vez que el Total de los Gastos comprometidos</w:t>
      </w:r>
      <w:r>
        <w:rPr>
          <w:rFonts w:ascii="Tahoma" w:hAnsi="Tahoma" w:cs="Tahoma"/>
        </w:rPr>
        <w:t xml:space="preserve"> de la vigencia</w:t>
      </w:r>
      <w:r w:rsidRPr="00CA76CA">
        <w:rPr>
          <w:rFonts w:ascii="Tahoma" w:hAnsi="Tahoma" w:cs="Tahoma"/>
        </w:rPr>
        <w:t xml:space="preserve">,  fueron </w:t>
      </w:r>
      <w:r>
        <w:rPr>
          <w:rFonts w:ascii="Tahoma" w:hAnsi="Tahoma" w:cs="Tahoma"/>
        </w:rPr>
        <w:t>mayore</w:t>
      </w:r>
      <w:r w:rsidRPr="00CA76CA">
        <w:rPr>
          <w:rFonts w:ascii="Tahoma" w:hAnsi="Tahoma" w:cs="Tahoma"/>
        </w:rPr>
        <w:t>s a los ingresos efectivamente recaudados.  Ver Tabla.</w:t>
      </w:r>
    </w:p>
    <w:p w:rsidR="00BB691C" w:rsidRDefault="00BB691C" w:rsidP="00BB691C"/>
    <w:tbl>
      <w:tblPr>
        <w:tblStyle w:val="Sombreadoclaro-nfasis1"/>
        <w:tblW w:w="7292" w:type="dxa"/>
        <w:jc w:val="center"/>
        <w:tblLook w:val="04A0" w:firstRow="1" w:lastRow="0" w:firstColumn="1" w:lastColumn="0" w:noHBand="0" w:noVBand="1"/>
      </w:tblPr>
      <w:tblGrid>
        <w:gridCol w:w="2614"/>
        <w:gridCol w:w="2362"/>
        <w:gridCol w:w="2316"/>
      </w:tblGrid>
      <w:tr w:rsidR="00586288" w:rsidRPr="00586288" w:rsidTr="00586288">
        <w:trPr>
          <w:cnfStyle w:val="100000000000" w:firstRow="1" w:lastRow="0" w:firstColumn="0" w:lastColumn="0" w:oddVBand="0" w:evenVBand="0" w:oddHBand="0" w:evenHBand="0" w:firstRowFirstColumn="0" w:firstRowLastColumn="0" w:lastRowFirstColumn="0" w:lastRowLastColumn="0"/>
          <w:trHeight w:val="971"/>
          <w:jc w:val="center"/>
        </w:trPr>
        <w:tc>
          <w:tcPr>
            <w:cnfStyle w:val="001000000000" w:firstRow="0" w:lastRow="0" w:firstColumn="1" w:lastColumn="0" w:oddVBand="0" w:evenVBand="0" w:oddHBand="0" w:evenHBand="0" w:firstRowFirstColumn="0" w:firstRowLastColumn="0" w:lastRowFirstColumn="0" w:lastRowLastColumn="0"/>
            <w:tcW w:w="2614" w:type="dxa"/>
            <w:hideMark/>
          </w:tcPr>
          <w:p w:rsidR="00BB691C" w:rsidRPr="00586288" w:rsidRDefault="00BB691C" w:rsidP="008E2B71">
            <w:pPr>
              <w:jc w:val="center"/>
              <w:rPr>
                <w:rFonts w:ascii="Tahoma" w:eastAsia="Times New Roman" w:hAnsi="Tahoma" w:cs="Tahoma"/>
                <w:color w:val="auto"/>
                <w:sz w:val="20"/>
                <w:szCs w:val="20"/>
              </w:rPr>
            </w:pPr>
            <w:r w:rsidRPr="00586288">
              <w:rPr>
                <w:rFonts w:ascii="Tahoma" w:eastAsia="Times New Roman" w:hAnsi="Tahoma" w:cs="Tahoma"/>
                <w:color w:val="auto"/>
                <w:sz w:val="20"/>
                <w:szCs w:val="20"/>
              </w:rPr>
              <w:t xml:space="preserve">  INGRESOS</w:t>
            </w:r>
            <w:r w:rsidRPr="00586288">
              <w:rPr>
                <w:rFonts w:ascii="Tahoma" w:eastAsia="Times New Roman" w:hAnsi="Tahoma" w:cs="Tahoma"/>
                <w:color w:val="auto"/>
                <w:sz w:val="20"/>
                <w:szCs w:val="20"/>
              </w:rPr>
              <w:br/>
              <w:t xml:space="preserve">EFECTIVAMENTE RECAUDADOS </w:t>
            </w:r>
          </w:p>
        </w:tc>
        <w:tc>
          <w:tcPr>
            <w:tcW w:w="2362" w:type="dxa"/>
            <w:hideMark/>
          </w:tcPr>
          <w:p w:rsidR="00BB691C" w:rsidRPr="00586288" w:rsidRDefault="00BB691C" w:rsidP="008E2B71">
            <w:pPr>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color w:val="auto"/>
                <w:sz w:val="20"/>
                <w:szCs w:val="20"/>
              </w:rPr>
            </w:pPr>
            <w:r w:rsidRPr="00586288">
              <w:rPr>
                <w:rFonts w:ascii="Tahoma" w:eastAsia="Times New Roman" w:hAnsi="Tahoma" w:cs="Tahoma"/>
                <w:color w:val="auto"/>
                <w:sz w:val="20"/>
                <w:szCs w:val="20"/>
              </w:rPr>
              <w:t xml:space="preserve"> GASTOS EFECTIVAMENTE COMPROMETIDOS </w:t>
            </w:r>
          </w:p>
        </w:tc>
        <w:tc>
          <w:tcPr>
            <w:tcW w:w="2316" w:type="dxa"/>
            <w:hideMark/>
          </w:tcPr>
          <w:p w:rsidR="00BB691C" w:rsidRPr="00586288" w:rsidRDefault="00BB691C" w:rsidP="008E2B71">
            <w:pPr>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color w:val="auto"/>
                <w:sz w:val="20"/>
                <w:szCs w:val="20"/>
              </w:rPr>
            </w:pPr>
            <w:r w:rsidRPr="00586288">
              <w:rPr>
                <w:rFonts w:ascii="Tahoma" w:eastAsia="Times New Roman" w:hAnsi="Tahoma" w:cs="Tahoma"/>
                <w:color w:val="auto"/>
                <w:sz w:val="20"/>
                <w:szCs w:val="20"/>
              </w:rPr>
              <w:t xml:space="preserve"> DEFICIT  O  SUPERAVIT</w:t>
            </w:r>
            <w:r w:rsidRPr="00586288">
              <w:rPr>
                <w:rFonts w:ascii="Tahoma" w:eastAsia="Times New Roman" w:hAnsi="Tahoma" w:cs="Tahoma"/>
                <w:color w:val="auto"/>
                <w:sz w:val="20"/>
                <w:szCs w:val="20"/>
              </w:rPr>
              <w:br/>
              <w:t xml:space="preserve">PRESUPUESTAL </w:t>
            </w:r>
          </w:p>
        </w:tc>
      </w:tr>
      <w:tr w:rsidR="00586288" w:rsidRPr="00586288" w:rsidTr="00586288">
        <w:trPr>
          <w:cnfStyle w:val="000000100000" w:firstRow="0" w:lastRow="0" w:firstColumn="0" w:lastColumn="0" w:oddVBand="0" w:evenVBand="0" w:oddHBand="1" w:evenHBand="0" w:firstRowFirstColumn="0" w:firstRowLastColumn="0" w:lastRowFirstColumn="0" w:lastRowLastColumn="0"/>
          <w:trHeight w:val="324"/>
          <w:jc w:val="center"/>
        </w:trPr>
        <w:tc>
          <w:tcPr>
            <w:cnfStyle w:val="001000000000" w:firstRow="0" w:lastRow="0" w:firstColumn="1" w:lastColumn="0" w:oddVBand="0" w:evenVBand="0" w:oddHBand="0" w:evenHBand="0" w:firstRowFirstColumn="0" w:firstRowLastColumn="0" w:lastRowFirstColumn="0" w:lastRowLastColumn="0"/>
            <w:tcW w:w="2614" w:type="dxa"/>
            <w:noWrap/>
            <w:hideMark/>
          </w:tcPr>
          <w:p w:rsidR="00BB691C" w:rsidRPr="00586288" w:rsidRDefault="00BB691C" w:rsidP="0088599F">
            <w:pPr>
              <w:jc w:val="right"/>
              <w:rPr>
                <w:rFonts w:ascii="Tahoma" w:eastAsia="Times New Roman" w:hAnsi="Tahoma" w:cs="Tahoma"/>
                <w:color w:val="auto"/>
                <w:sz w:val="20"/>
                <w:szCs w:val="20"/>
              </w:rPr>
            </w:pPr>
            <w:r w:rsidRPr="00586288">
              <w:rPr>
                <w:rFonts w:ascii="Tahoma" w:eastAsia="Times New Roman" w:hAnsi="Tahoma" w:cs="Tahoma"/>
                <w:color w:val="auto"/>
                <w:sz w:val="20"/>
                <w:szCs w:val="20"/>
              </w:rPr>
              <w:t xml:space="preserve">                $</w:t>
            </w:r>
            <w:r w:rsidR="0088599F">
              <w:rPr>
                <w:rFonts w:ascii="Tahoma" w:eastAsia="Times New Roman" w:hAnsi="Tahoma" w:cs="Tahoma"/>
                <w:color w:val="auto"/>
                <w:sz w:val="20"/>
                <w:szCs w:val="20"/>
              </w:rPr>
              <w:t>8.922.895.223.oo</w:t>
            </w:r>
          </w:p>
        </w:tc>
        <w:tc>
          <w:tcPr>
            <w:tcW w:w="2362" w:type="dxa"/>
            <w:noWrap/>
            <w:hideMark/>
          </w:tcPr>
          <w:p w:rsidR="00BB691C" w:rsidRPr="00586288" w:rsidRDefault="00BB691C" w:rsidP="0088599F">
            <w:pPr>
              <w:jc w:val="right"/>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
                <w:color w:val="auto"/>
                <w:sz w:val="20"/>
                <w:szCs w:val="20"/>
              </w:rPr>
            </w:pPr>
            <w:r w:rsidRPr="00586288">
              <w:rPr>
                <w:rFonts w:ascii="Tahoma" w:eastAsia="Times New Roman" w:hAnsi="Tahoma" w:cs="Tahoma"/>
                <w:b/>
                <w:color w:val="auto"/>
                <w:sz w:val="20"/>
                <w:szCs w:val="20"/>
              </w:rPr>
              <w:t xml:space="preserve">     $</w:t>
            </w:r>
            <w:r w:rsidR="0088599F">
              <w:rPr>
                <w:rFonts w:ascii="Tahoma" w:eastAsia="Times New Roman" w:hAnsi="Tahoma" w:cs="Tahoma"/>
                <w:b/>
                <w:color w:val="auto"/>
                <w:sz w:val="20"/>
                <w:szCs w:val="20"/>
              </w:rPr>
              <w:t>10.062.173.030</w:t>
            </w:r>
            <w:r w:rsidRPr="00586288">
              <w:rPr>
                <w:rFonts w:ascii="Tahoma" w:eastAsia="Times New Roman" w:hAnsi="Tahoma" w:cs="Tahoma"/>
                <w:b/>
                <w:color w:val="auto"/>
                <w:sz w:val="20"/>
                <w:szCs w:val="20"/>
              </w:rPr>
              <w:t xml:space="preserve">.oo </w:t>
            </w:r>
          </w:p>
        </w:tc>
        <w:tc>
          <w:tcPr>
            <w:tcW w:w="2316" w:type="dxa"/>
            <w:noWrap/>
            <w:hideMark/>
          </w:tcPr>
          <w:p w:rsidR="00586288" w:rsidRDefault="00BB691C" w:rsidP="008E2B71">
            <w:pPr>
              <w:jc w:val="right"/>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
                <w:color w:val="auto"/>
                <w:sz w:val="20"/>
                <w:szCs w:val="20"/>
              </w:rPr>
            </w:pPr>
            <w:r w:rsidRPr="00586288">
              <w:rPr>
                <w:rFonts w:ascii="Tahoma" w:eastAsia="Times New Roman" w:hAnsi="Tahoma" w:cs="Tahoma"/>
                <w:b/>
                <w:color w:val="auto"/>
                <w:sz w:val="20"/>
                <w:szCs w:val="20"/>
              </w:rPr>
              <w:t xml:space="preserve">       </w:t>
            </w:r>
          </w:p>
          <w:p w:rsidR="00BB691C" w:rsidRPr="00586288" w:rsidRDefault="00BB691C" w:rsidP="0088599F">
            <w:pPr>
              <w:jc w:val="right"/>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b/>
                <w:color w:val="auto"/>
                <w:sz w:val="20"/>
                <w:szCs w:val="20"/>
              </w:rPr>
            </w:pPr>
            <w:r w:rsidRPr="00586288">
              <w:rPr>
                <w:rFonts w:ascii="Tahoma" w:eastAsia="Times New Roman" w:hAnsi="Tahoma" w:cs="Tahoma"/>
                <w:b/>
                <w:color w:val="auto"/>
                <w:sz w:val="20"/>
                <w:szCs w:val="20"/>
              </w:rPr>
              <w:t>-$</w:t>
            </w:r>
            <w:r w:rsidR="0088599F">
              <w:rPr>
                <w:rFonts w:ascii="Tahoma" w:eastAsia="Times New Roman" w:hAnsi="Tahoma" w:cs="Tahoma"/>
                <w:b/>
                <w:color w:val="auto"/>
                <w:sz w:val="20"/>
                <w:szCs w:val="20"/>
              </w:rPr>
              <w:t>1.139.277.807</w:t>
            </w:r>
            <w:r w:rsidRPr="00586288">
              <w:rPr>
                <w:rFonts w:ascii="Tahoma" w:eastAsia="Times New Roman" w:hAnsi="Tahoma" w:cs="Tahoma"/>
                <w:b/>
                <w:color w:val="auto"/>
                <w:sz w:val="20"/>
                <w:szCs w:val="20"/>
              </w:rPr>
              <w:t xml:space="preserve"> </w:t>
            </w:r>
          </w:p>
        </w:tc>
      </w:tr>
    </w:tbl>
    <w:p w:rsidR="00BB691C" w:rsidRDefault="00BB691C" w:rsidP="00BB691C"/>
    <w:p w:rsidR="00BB691C" w:rsidRDefault="00BB691C" w:rsidP="00BB691C">
      <w:pPr>
        <w:jc w:val="both"/>
        <w:rPr>
          <w:rFonts w:ascii="Tahoma" w:hAnsi="Tahoma" w:cs="Tahoma"/>
          <w:b/>
          <w:sz w:val="16"/>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Pr>
          <w:rFonts w:ascii="Tahoma" w:hAnsi="Tahoma" w:cs="Tahoma"/>
          <w:b/>
          <w:sz w:val="16"/>
        </w:rPr>
        <w:tab/>
      </w:r>
    </w:p>
    <w:p w:rsidR="00926AEF" w:rsidRPr="00BB691C" w:rsidRDefault="00926AEF" w:rsidP="00BB691C"/>
    <w:sectPr w:rsidR="00926AEF" w:rsidRPr="00BB691C" w:rsidSect="00B95027">
      <w:headerReference w:type="default" r:id="rId21"/>
      <w:footerReference w:type="default" r:id="rId22"/>
      <w:pgSz w:w="11906" w:h="16838"/>
      <w:pgMar w:top="1386" w:right="1133" w:bottom="1135" w:left="1701"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47B" w:rsidRDefault="0045547B" w:rsidP="001B1D0B">
      <w:pPr>
        <w:spacing w:after="0" w:line="240" w:lineRule="auto"/>
      </w:pPr>
      <w:r>
        <w:separator/>
      </w:r>
    </w:p>
  </w:endnote>
  <w:endnote w:type="continuationSeparator" w:id="0">
    <w:p w:rsidR="0045547B" w:rsidRDefault="0045547B" w:rsidP="001B1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27" w:rsidRDefault="00B95027">
    <w:pPr>
      <w:pStyle w:val="Piedepgina"/>
    </w:pPr>
    <w:r w:rsidRPr="00070555">
      <w:rPr>
        <w:rFonts w:ascii="Tahoma" w:hAnsi="Tahoma" w:cs="Tahoma"/>
        <w:noProof/>
        <w:sz w:val="18"/>
        <w:szCs w:val="18"/>
      </w:rPr>
      <mc:AlternateContent>
        <mc:Choice Requires="wps">
          <w:drawing>
            <wp:anchor distT="0" distB="0" distL="114300" distR="114300" simplePos="0" relativeHeight="251659264" behindDoc="0" locked="0" layoutInCell="1" allowOverlap="1" wp14:anchorId="230BF65B" wp14:editId="1CF6B43D">
              <wp:simplePos x="0" y="0"/>
              <wp:positionH relativeFrom="column">
                <wp:posOffset>-289560</wp:posOffset>
              </wp:positionH>
              <wp:positionV relativeFrom="paragraph">
                <wp:posOffset>-356236</wp:posOffset>
              </wp:positionV>
              <wp:extent cx="2827654" cy="866775"/>
              <wp:effectExtent l="0" t="0" r="0" b="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654" cy="866775"/>
                      </a:xfrm>
                      <a:prstGeom prst="rect">
                        <a:avLst/>
                      </a:prstGeom>
                      <a:noFill/>
                      <a:ln w="9525">
                        <a:noFill/>
                        <a:miter lim="800000"/>
                        <a:headEnd/>
                        <a:tailEnd/>
                      </a:ln>
                    </wps:spPr>
                    <wps:txbx>
                      <w:txbxContent>
                        <w:p w:rsidR="00B95027" w:rsidRDefault="00B95027" w:rsidP="00B95027">
                          <w:pPr>
                            <w:tabs>
                              <w:tab w:val="left" w:pos="-2835"/>
                              <w:tab w:val="left" w:pos="-2694"/>
                              <w:tab w:val="left" w:pos="-2552"/>
                              <w:tab w:val="left" w:pos="0"/>
                              <w:tab w:val="left" w:pos="142"/>
                            </w:tabs>
                            <w:spacing w:after="0"/>
                            <w:ind w:left="142"/>
                            <w:jc w:val="center"/>
                            <w:rPr>
                              <w:rFonts w:ascii="Tahoma" w:hAnsi="Tahoma" w:cs="Tahoma"/>
                              <w:sz w:val="18"/>
                              <w:szCs w:val="18"/>
                            </w:rPr>
                          </w:pPr>
                          <w:r>
                            <w:rPr>
                              <w:rFonts w:ascii="Tahoma" w:hAnsi="Tahoma" w:cs="Tahoma"/>
                              <w:sz w:val="18"/>
                              <w:szCs w:val="18"/>
                            </w:rPr>
                            <w:t>________________________________________</w:t>
                          </w:r>
                        </w:p>
                        <w:p w:rsidR="00B95027" w:rsidRDefault="00B95027" w:rsidP="00B95027">
                          <w:pPr>
                            <w:tabs>
                              <w:tab w:val="left" w:pos="-2835"/>
                              <w:tab w:val="left" w:pos="-2694"/>
                              <w:tab w:val="left" w:pos="-2552"/>
                              <w:tab w:val="left" w:pos="0"/>
                              <w:tab w:val="left" w:pos="142"/>
                            </w:tabs>
                            <w:spacing w:after="0"/>
                            <w:ind w:left="142"/>
                            <w:jc w:val="center"/>
                            <w:rPr>
                              <w:rFonts w:ascii="Tahoma" w:hAnsi="Tahoma" w:cs="Tahoma"/>
                              <w:sz w:val="18"/>
                              <w:szCs w:val="18"/>
                            </w:rPr>
                          </w:pPr>
                        </w:p>
                        <w:p w:rsidR="00B95027" w:rsidRPr="00BB3D88" w:rsidRDefault="00B95027" w:rsidP="00B95027">
                          <w:pPr>
                            <w:tabs>
                              <w:tab w:val="left" w:pos="-2835"/>
                              <w:tab w:val="left" w:pos="-2694"/>
                              <w:tab w:val="left" w:pos="-2552"/>
                              <w:tab w:val="left" w:pos="0"/>
                              <w:tab w:val="left" w:pos="142"/>
                            </w:tabs>
                            <w:spacing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B95027" w:rsidRPr="003205FF" w:rsidRDefault="00B95027" w:rsidP="00B95027">
                          <w:pPr>
                            <w:tabs>
                              <w:tab w:val="left" w:pos="-2835"/>
                              <w:tab w:val="left" w:pos="-2694"/>
                              <w:tab w:val="left" w:pos="0"/>
                              <w:tab w:val="left" w:pos="142"/>
                            </w:tabs>
                            <w:spacing w:after="0"/>
                            <w:ind w:left="142"/>
                            <w:jc w:val="center"/>
                            <w:rPr>
                              <w:rStyle w:val="Hipervnculo"/>
                              <w:rFonts w:ascii="Tahoma" w:hAnsi="Tahoma" w:cs="Tahoma"/>
                              <w:sz w:val="18"/>
                              <w:szCs w:val="18"/>
                            </w:rPr>
                          </w:pPr>
                          <w:hyperlink r:id="rId1" w:history="1">
                            <w:r w:rsidRPr="003205FF">
                              <w:rPr>
                                <w:rStyle w:val="Hipervnculo"/>
                                <w:rFonts w:ascii="Tahoma" w:hAnsi="Tahoma" w:cs="Tahoma"/>
                                <w:sz w:val="18"/>
                                <w:szCs w:val="18"/>
                              </w:rPr>
                              <w:t>despacho.contraloria@contraloriatolima.gov.co</w:t>
                            </w:r>
                          </w:hyperlink>
                        </w:p>
                        <w:p w:rsidR="00B95027" w:rsidRPr="000352F0" w:rsidRDefault="00B95027" w:rsidP="00B95027">
                          <w:pPr>
                            <w:tabs>
                              <w:tab w:val="left" w:pos="-2835"/>
                              <w:tab w:val="left" w:pos="-2694"/>
                              <w:tab w:val="left" w:pos="0"/>
                              <w:tab w:val="left" w:pos="142"/>
                            </w:tabs>
                            <w:spacing w:after="0"/>
                            <w:ind w:left="142"/>
                            <w:jc w:val="center"/>
                            <w:rPr>
                              <w:rStyle w:val="Hipervnculo"/>
                              <w:rFonts w:ascii="Tahoma" w:hAnsi="Tahoma" w:cs="Tahoma"/>
                              <w:sz w:val="18"/>
                              <w:szCs w:val="18"/>
                            </w:rPr>
                          </w:pPr>
                          <w:r w:rsidRPr="000352F0">
                            <w:rPr>
                              <w:rFonts w:ascii="Tahoma" w:hAnsi="Tahoma" w:cs="Tahoma"/>
                              <w:sz w:val="18"/>
                              <w:szCs w:val="18"/>
                            </w:rPr>
                            <w:t>Web-</w:t>
                          </w:r>
                          <w:proofErr w:type="spellStart"/>
                          <w:r w:rsidRPr="000352F0">
                            <w:rPr>
                              <w:rFonts w:ascii="Tahoma" w:hAnsi="Tahoma" w:cs="Tahoma"/>
                              <w:sz w:val="18"/>
                              <w:szCs w:val="18"/>
                            </w:rPr>
                            <w:t>Site</w:t>
                          </w:r>
                          <w:proofErr w:type="spellEnd"/>
                          <w:r w:rsidRPr="000352F0">
                            <w:rPr>
                              <w:rFonts w:ascii="Tahoma" w:hAnsi="Tahoma" w:cs="Tahoma"/>
                              <w:sz w:val="18"/>
                              <w:szCs w:val="18"/>
                            </w:rPr>
                            <w:t xml:space="preserve">:  </w:t>
                          </w:r>
                          <w:hyperlink r:id="rId2" w:history="1">
                            <w:r w:rsidRPr="000352F0">
                              <w:rPr>
                                <w:rStyle w:val="Hipervnculo"/>
                                <w:rFonts w:ascii="Tahoma" w:hAnsi="Tahoma" w:cs="Tahoma"/>
                                <w:sz w:val="18"/>
                                <w:szCs w:val="18"/>
                              </w:rPr>
                              <w:t>www.contraloriatolima.gov.co</w:t>
                            </w:r>
                          </w:hyperlink>
                        </w:p>
                        <w:p w:rsidR="00B95027" w:rsidRPr="00BB3D88" w:rsidRDefault="00B95027" w:rsidP="00B95027">
                          <w:pPr>
                            <w:tabs>
                              <w:tab w:val="left" w:pos="-2835"/>
                              <w:tab w:val="left" w:pos="-2694"/>
                              <w:tab w:val="left" w:pos="0"/>
                              <w:tab w:val="left" w:pos="142"/>
                            </w:tabs>
                            <w:spacing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B95027" w:rsidRPr="00A926CE" w:rsidRDefault="00B95027" w:rsidP="00B95027">
                          <w:pPr>
                            <w:tabs>
                              <w:tab w:val="left" w:pos="-2835"/>
                              <w:tab w:val="left" w:pos="-2694"/>
                              <w:tab w:val="left" w:pos="0"/>
                              <w:tab w:val="left" w:pos="142"/>
                            </w:tabs>
                            <w:spacing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2.8pt;margin-top:-28.05pt;width:222.65pt;height:6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" filled="f" stroked="f">
              <v:textbox>
                <w:txbxContent>
                  <w:p w:rsidR="00B95027" w:rsidRDefault="00B95027" w:rsidP="00B95027">
                    <w:pPr>
                      <w:tabs>
                        <w:tab w:val="left" w:pos="-2835"/>
                        <w:tab w:val="left" w:pos="-2694"/>
                        <w:tab w:val="left" w:pos="-2552"/>
                        <w:tab w:val="left" w:pos="0"/>
                        <w:tab w:val="left" w:pos="142"/>
                      </w:tabs>
                      <w:spacing w:after="0"/>
                      <w:ind w:left="142"/>
                      <w:jc w:val="center"/>
                      <w:rPr>
                        <w:rFonts w:ascii="Tahoma" w:hAnsi="Tahoma" w:cs="Tahoma"/>
                        <w:sz w:val="18"/>
                        <w:szCs w:val="18"/>
                      </w:rPr>
                    </w:pPr>
                    <w:r>
                      <w:rPr>
                        <w:rFonts w:ascii="Tahoma" w:hAnsi="Tahoma" w:cs="Tahoma"/>
                        <w:sz w:val="18"/>
                        <w:szCs w:val="18"/>
                      </w:rPr>
                      <w:t>________________________________________</w:t>
                    </w:r>
                  </w:p>
                  <w:p w:rsidR="00B95027" w:rsidRDefault="00B95027" w:rsidP="00B95027">
                    <w:pPr>
                      <w:tabs>
                        <w:tab w:val="left" w:pos="-2835"/>
                        <w:tab w:val="left" w:pos="-2694"/>
                        <w:tab w:val="left" w:pos="-2552"/>
                        <w:tab w:val="left" w:pos="0"/>
                        <w:tab w:val="left" w:pos="142"/>
                      </w:tabs>
                      <w:spacing w:after="0"/>
                      <w:ind w:left="142"/>
                      <w:jc w:val="center"/>
                      <w:rPr>
                        <w:rFonts w:ascii="Tahoma" w:hAnsi="Tahoma" w:cs="Tahoma"/>
                        <w:sz w:val="18"/>
                        <w:szCs w:val="18"/>
                      </w:rPr>
                    </w:pPr>
                  </w:p>
                  <w:p w:rsidR="00B95027" w:rsidRPr="00BB3D88" w:rsidRDefault="00B95027" w:rsidP="00B95027">
                    <w:pPr>
                      <w:tabs>
                        <w:tab w:val="left" w:pos="-2835"/>
                        <w:tab w:val="left" w:pos="-2694"/>
                        <w:tab w:val="left" w:pos="-2552"/>
                        <w:tab w:val="left" w:pos="0"/>
                        <w:tab w:val="left" w:pos="142"/>
                      </w:tabs>
                      <w:spacing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B95027" w:rsidRPr="003205FF" w:rsidRDefault="00B95027" w:rsidP="00B95027">
                    <w:pPr>
                      <w:tabs>
                        <w:tab w:val="left" w:pos="-2835"/>
                        <w:tab w:val="left" w:pos="-2694"/>
                        <w:tab w:val="left" w:pos="0"/>
                        <w:tab w:val="left" w:pos="142"/>
                      </w:tabs>
                      <w:spacing w:after="0"/>
                      <w:ind w:left="142"/>
                      <w:jc w:val="center"/>
                      <w:rPr>
                        <w:rStyle w:val="Hipervnculo"/>
                        <w:rFonts w:ascii="Tahoma" w:hAnsi="Tahoma" w:cs="Tahoma"/>
                        <w:sz w:val="18"/>
                        <w:szCs w:val="18"/>
                      </w:rPr>
                    </w:pPr>
                    <w:hyperlink r:id="rId3" w:history="1">
                      <w:r w:rsidRPr="003205FF">
                        <w:rPr>
                          <w:rStyle w:val="Hipervnculo"/>
                          <w:rFonts w:ascii="Tahoma" w:hAnsi="Tahoma" w:cs="Tahoma"/>
                          <w:sz w:val="18"/>
                          <w:szCs w:val="18"/>
                        </w:rPr>
                        <w:t>despacho.contraloria@contraloriatolima.gov.co</w:t>
                      </w:r>
                    </w:hyperlink>
                  </w:p>
                  <w:p w:rsidR="00B95027" w:rsidRPr="000352F0" w:rsidRDefault="00B95027" w:rsidP="00B95027">
                    <w:pPr>
                      <w:tabs>
                        <w:tab w:val="left" w:pos="-2835"/>
                        <w:tab w:val="left" w:pos="-2694"/>
                        <w:tab w:val="left" w:pos="0"/>
                        <w:tab w:val="left" w:pos="142"/>
                      </w:tabs>
                      <w:spacing w:after="0"/>
                      <w:ind w:left="142"/>
                      <w:jc w:val="center"/>
                      <w:rPr>
                        <w:rStyle w:val="Hipervnculo"/>
                        <w:rFonts w:ascii="Tahoma" w:hAnsi="Tahoma" w:cs="Tahoma"/>
                        <w:sz w:val="18"/>
                        <w:szCs w:val="18"/>
                      </w:rPr>
                    </w:pPr>
                    <w:r w:rsidRPr="000352F0">
                      <w:rPr>
                        <w:rFonts w:ascii="Tahoma" w:hAnsi="Tahoma" w:cs="Tahoma"/>
                        <w:sz w:val="18"/>
                        <w:szCs w:val="18"/>
                      </w:rPr>
                      <w:t>Web-</w:t>
                    </w:r>
                    <w:proofErr w:type="spellStart"/>
                    <w:r w:rsidRPr="000352F0">
                      <w:rPr>
                        <w:rFonts w:ascii="Tahoma" w:hAnsi="Tahoma" w:cs="Tahoma"/>
                        <w:sz w:val="18"/>
                        <w:szCs w:val="18"/>
                      </w:rPr>
                      <w:t>Site</w:t>
                    </w:r>
                    <w:proofErr w:type="spellEnd"/>
                    <w:r w:rsidRPr="000352F0">
                      <w:rPr>
                        <w:rFonts w:ascii="Tahoma" w:hAnsi="Tahoma" w:cs="Tahoma"/>
                        <w:sz w:val="18"/>
                        <w:szCs w:val="18"/>
                      </w:rPr>
                      <w:t xml:space="preserve">:  </w:t>
                    </w:r>
                    <w:hyperlink r:id="rId4" w:history="1">
                      <w:r w:rsidRPr="000352F0">
                        <w:rPr>
                          <w:rStyle w:val="Hipervnculo"/>
                          <w:rFonts w:ascii="Tahoma" w:hAnsi="Tahoma" w:cs="Tahoma"/>
                          <w:sz w:val="18"/>
                          <w:szCs w:val="18"/>
                        </w:rPr>
                        <w:t>www.contraloriatolima.gov.co</w:t>
                      </w:r>
                    </w:hyperlink>
                  </w:p>
                  <w:p w:rsidR="00B95027" w:rsidRPr="00BB3D88" w:rsidRDefault="00B95027" w:rsidP="00B95027">
                    <w:pPr>
                      <w:tabs>
                        <w:tab w:val="left" w:pos="-2835"/>
                        <w:tab w:val="left" w:pos="-2694"/>
                        <w:tab w:val="left" w:pos="0"/>
                        <w:tab w:val="left" w:pos="142"/>
                      </w:tabs>
                      <w:spacing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B95027" w:rsidRPr="00A926CE" w:rsidRDefault="00B95027" w:rsidP="00B95027">
                    <w:pPr>
                      <w:tabs>
                        <w:tab w:val="left" w:pos="-2835"/>
                        <w:tab w:val="left" w:pos="-2694"/>
                        <w:tab w:val="left" w:pos="0"/>
                        <w:tab w:val="left" w:pos="142"/>
                      </w:tabs>
                      <w:spacing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47B" w:rsidRDefault="0045547B" w:rsidP="001B1D0B">
      <w:pPr>
        <w:spacing w:after="0" w:line="240" w:lineRule="auto"/>
      </w:pPr>
      <w:r>
        <w:separator/>
      </w:r>
    </w:p>
  </w:footnote>
  <w:footnote w:type="continuationSeparator" w:id="0">
    <w:p w:rsidR="0045547B" w:rsidRDefault="0045547B" w:rsidP="001B1D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B71" w:rsidRPr="009B6FEA" w:rsidRDefault="008E2B71" w:rsidP="00B95027">
    <w:pPr>
      <w:pStyle w:val="Encabezado"/>
      <w:jc w:val="both"/>
      <w:rPr>
        <w:noProof/>
        <w:lang w:eastAsia="es-ES"/>
      </w:rPr>
    </w:pPr>
    <w:r>
      <w:rPr>
        <w:noProof/>
        <w:lang w:eastAsia="es-ES"/>
      </w:rPr>
      <w:t xml:space="preserve"> </w:t>
    </w:r>
    <w:r w:rsidR="00B95027">
      <w:rPr>
        <w:noProof/>
        <w:lang w:val="es-CO" w:eastAsia="es-CO"/>
      </w:rPr>
      <w:drawing>
        <wp:inline distT="0" distB="0" distL="0" distR="0" wp14:anchorId="2B2E9C06" wp14:editId="36245F6F">
          <wp:extent cx="1571625" cy="1219200"/>
          <wp:effectExtent l="0" t="0" r="9525"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r>
      <w:rPr>
        <w:noProof/>
        <w:lang w:eastAsia="es-E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F8E7692"/>
    <w:multiLevelType w:val="hybridMultilevel"/>
    <w:tmpl w:val="431AC140"/>
    <w:lvl w:ilvl="0" w:tplc="FE628FFC">
      <w:start w:val="27"/>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62A4942"/>
    <w:multiLevelType w:val="hybridMultilevel"/>
    <w:tmpl w:val="7E12F9A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1987225"/>
    <w:multiLevelType w:val="hybridMultilevel"/>
    <w:tmpl w:val="85047AC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0FA1EB3"/>
    <w:multiLevelType w:val="hybridMultilevel"/>
    <w:tmpl w:val="CE86A54C"/>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74565FBF"/>
    <w:multiLevelType w:val="hybridMultilevel"/>
    <w:tmpl w:val="779E772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F89"/>
    <w:rsid w:val="00024AA7"/>
    <w:rsid w:val="000464EE"/>
    <w:rsid w:val="00054A8B"/>
    <w:rsid w:val="000754D5"/>
    <w:rsid w:val="000D2ACC"/>
    <w:rsid w:val="000D4145"/>
    <w:rsid w:val="000E4A66"/>
    <w:rsid w:val="001053F1"/>
    <w:rsid w:val="00110591"/>
    <w:rsid w:val="00183062"/>
    <w:rsid w:val="0018453D"/>
    <w:rsid w:val="001A1EFD"/>
    <w:rsid w:val="001A3E50"/>
    <w:rsid w:val="001A6B6C"/>
    <w:rsid w:val="001B1D0B"/>
    <w:rsid w:val="001B2156"/>
    <w:rsid w:val="001B2AFD"/>
    <w:rsid w:val="001C063D"/>
    <w:rsid w:val="001C35EB"/>
    <w:rsid w:val="001D5B4C"/>
    <w:rsid w:val="00202B9E"/>
    <w:rsid w:val="002074A2"/>
    <w:rsid w:val="00232162"/>
    <w:rsid w:val="00235E27"/>
    <w:rsid w:val="002379FB"/>
    <w:rsid w:val="002821A6"/>
    <w:rsid w:val="0028275A"/>
    <w:rsid w:val="00283826"/>
    <w:rsid w:val="00284908"/>
    <w:rsid w:val="00295209"/>
    <w:rsid w:val="002B1329"/>
    <w:rsid w:val="002B1728"/>
    <w:rsid w:val="0030284E"/>
    <w:rsid w:val="003066B9"/>
    <w:rsid w:val="00310B62"/>
    <w:rsid w:val="00320B59"/>
    <w:rsid w:val="0033136F"/>
    <w:rsid w:val="00354479"/>
    <w:rsid w:val="00390648"/>
    <w:rsid w:val="003B6C11"/>
    <w:rsid w:val="003D389A"/>
    <w:rsid w:val="003D6523"/>
    <w:rsid w:val="0040683B"/>
    <w:rsid w:val="00411A3D"/>
    <w:rsid w:val="0045547B"/>
    <w:rsid w:val="00486A16"/>
    <w:rsid w:val="004B6047"/>
    <w:rsid w:val="00526589"/>
    <w:rsid w:val="00531752"/>
    <w:rsid w:val="00543C19"/>
    <w:rsid w:val="00551072"/>
    <w:rsid w:val="00586288"/>
    <w:rsid w:val="005A1593"/>
    <w:rsid w:val="005A555A"/>
    <w:rsid w:val="005E6FBD"/>
    <w:rsid w:val="00600776"/>
    <w:rsid w:val="006453FD"/>
    <w:rsid w:val="00653036"/>
    <w:rsid w:val="006661DB"/>
    <w:rsid w:val="00681DA3"/>
    <w:rsid w:val="00696A57"/>
    <w:rsid w:val="006D2B08"/>
    <w:rsid w:val="006E052C"/>
    <w:rsid w:val="006F20AD"/>
    <w:rsid w:val="00701DC2"/>
    <w:rsid w:val="0070643E"/>
    <w:rsid w:val="00711052"/>
    <w:rsid w:val="00722B43"/>
    <w:rsid w:val="00725774"/>
    <w:rsid w:val="00736C25"/>
    <w:rsid w:val="00753AAC"/>
    <w:rsid w:val="007618B4"/>
    <w:rsid w:val="00771363"/>
    <w:rsid w:val="0077360A"/>
    <w:rsid w:val="007762A7"/>
    <w:rsid w:val="00781F3B"/>
    <w:rsid w:val="00793143"/>
    <w:rsid w:val="0079334C"/>
    <w:rsid w:val="007C375E"/>
    <w:rsid w:val="007F3881"/>
    <w:rsid w:val="00803915"/>
    <w:rsid w:val="0081415E"/>
    <w:rsid w:val="00815B68"/>
    <w:rsid w:val="00815D4B"/>
    <w:rsid w:val="00826DC8"/>
    <w:rsid w:val="00863F35"/>
    <w:rsid w:val="0087467B"/>
    <w:rsid w:val="0088599F"/>
    <w:rsid w:val="008A4913"/>
    <w:rsid w:val="008C121B"/>
    <w:rsid w:val="008D7BAB"/>
    <w:rsid w:val="008E2B71"/>
    <w:rsid w:val="00912054"/>
    <w:rsid w:val="009171F5"/>
    <w:rsid w:val="00926AEF"/>
    <w:rsid w:val="009606C3"/>
    <w:rsid w:val="00983754"/>
    <w:rsid w:val="00984986"/>
    <w:rsid w:val="009860AF"/>
    <w:rsid w:val="009964B6"/>
    <w:rsid w:val="0099761C"/>
    <w:rsid w:val="009A0F67"/>
    <w:rsid w:val="009A1B55"/>
    <w:rsid w:val="009B6FEA"/>
    <w:rsid w:val="009C3F57"/>
    <w:rsid w:val="009E210D"/>
    <w:rsid w:val="009E430A"/>
    <w:rsid w:val="009E5ABC"/>
    <w:rsid w:val="009F1BD5"/>
    <w:rsid w:val="00A07D07"/>
    <w:rsid w:val="00A23C10"/>
    <w:rsid w:val="00A91818"/>
    <w:rsid w:val="00AA6308"/>
    <w:rsid w:val="00AA7616"/>
    <w:rsid w:val="00AC13F0"/>
    <w:rsid w:val="00AD3BF2"/>
    <w:rsid w:val="00AD779D"/>
    <w:rsid w:val="00AF1A7B"/>
    <w:rsid w:val="00AF3118"/>
    <w:rsid w:val="00AF54BE"/>
    <w:rsid w:val="00B002B1"/>
    <w:rsid w:val="00B11C0F"/>
    <w:rsid w:val="00B15D56"/>
    <w:rsid w:val="00B568EC"/>
    <w:rsid w:val="00B76F38"/>
    <w:rsid w:val="00B909D9"/>
    <w:rsid w:val="00B95027"/>
    <w:rsid w:val="00BB19BD"/>
    <w:rsid w:val="00BB691C"/>
    <w:rsid w:val="00BC61CE"/>
    <w:rsid w:val="00BE5201"/>
    <w:rsid w:val="00BE58C9"/>
    <w:rsid w:val="00C12948"/>
    <w:rsid w:val="00C166F7"/>
    <w:rsid w:val="00C323C7"/>
    <w:rsid w:val="00C469C4"/>
    <w:rsid w:val="00C52929"/>
    <w:rsid w:val="00C77F89"/>
    <w:rsid w:val="00C9051A"/>
    <w:rsid w:val="00C97C94"/>
    <w:rsid w:val="00CB35A3"/>
    <w:rsid w:val="00CC31F0"/>
    <w:rsid w:val="00CC3557"/>
    <w:rsid w:val="00CC4D7A"/>
    <w:rsid w:val="00CD7A31"/>
    <w:rsid w:val="00D30B78"/>
    <w:rsid w:val="00D34A5F"/>
    <w:rsid w:val="00D51858"/>
    <w:rsid w:val="00D64515"/>
    <w:rsid w:val="00D678B5"/>
    <w:rsid w:val="00D8616A"/>
    <w:rsid w:val="00D864F4"/>
    <w:rsid w:val="00DB220F"/>
    <w:rsid w:val="00DB2EEF"/>
    <w:rsid w:val="00DC1807"/>
    <w:rsid w:val="00E109B8"/>
    <w:rsid w:val="00E13639"/>
    <w:rsid w:val="00E2465F"/>
    <w:rsid w:val="00E30E79"/>
    <w:rsid w:val="00E34DCD"/>
    <w:rsid w:val="00E4161D"/>
    <w:rsid w:val="00E44751"/>
    <w:rsid w:val="00E54A50"/>
    <w:rsid w:val="00E6341B"/>
    <w:rsid w:val="00E67E6C"/>
    <w:rsid w:val="00E702D1"/>
    <w:rsid w:val="00E87921"/>
    <w:rsid w:val="00EA512F"/>
    <w:rsid w:val="00ED3288"/>
    <w:rsid w:val="00F0298D"/>
    <w:rsid w:val="00F10DEF"/>
    <w:rsid w:val="00F22492"/>
    <w:rsid w:val="00F56F05"/>
    <w:rsid w:val="00F603D9"/>
    <w:rsid w:val="00F674ED"/>
    <w:rsid w:val="00F73732"/>
    <w:rsid w:val="00F86A97"/>
    <w:rsid w:val="00FA4366"/>
    <w:rsid w:val="00FB1D73"/>
    <w:rsid w:val="00FB5BB5"/>
    <w:rsid w:val="00FD5F58"/>
    <w:rsid w:val="00FF6D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B002B1"/>
    <w:pPr>
      <w:keepNext/>
      <w:overflowPunct w:val="0"/>
      <w:autoSpaceDE w:val="0"/>
      <w:autoSpaceDN w:val="0"/>
      <w:adjustRightInd w:val="0"/>
      <w:spacing w:before="240" w:after="60" w:line="240" w:lineRule="auto"/>
      <w:textAlignment w:val="baseline"/>
      <w:outlineLvl w:val="0"/>
    </w:pPr>
    <w:rPr>
      <w:rFonts w:ascii="Cambria" w:eastAsia="Times New Roman" w:hAnsi="Cambria" w:cs="Times New Roman"/>
      <w:b/>
      <w:bCs/>
      <w:kern w:val="32"/>
      <w:sz w:val="32"/>
      <w:szCs w:val="32"/>
      <w:lang w:eastAsia="es-ES"/>
    </w:rPr>
  </w:style>
  <w:style w:type="paragraph" w:styleId="Ttulo2">
    <w:name w:val="heading 2"/>
    <w:basedOn w:val="Normal"/>
    <w:next w:val="Normal"/>
    <w:link w:val="Ttulo2Car"/>
    <w:uiPriority w:val="9"/>
    <w:semiHidden/>
    <w:unhideWhenUsed/>
    <w:qFormat/>
    <w:rsid w:val="00BB691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B172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B1728"/>
    <w:rPr>
      <w:rFonts w:ascii="Segoe UI" w:hAnsi="Segoe UI" w:cs="Segoe UI"/>
      <w:sz w:val="18"/>
      <w:szCs w:val="18"/>
    </w:rPr>
  </w:style>
  <w:style w:type="paragraph" w:styleId="Encabezado">
    <w:name w:val="header"/>
    <w:basedOn w:val="Normal"/>
    <w:link w:val="EncabezadoCar"/>
    <w:uiPriority w:val="99"/>
    <w:unhideWhenUsed/>
    <w:rsid w:val="001B1D0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B1D0B"/>
  </w:style>
  <w:style w:type="paragraph" w:styleId="Piedepgina">
    <w:name w:val="footer"/>
    <w:basedOn w:val="Normal"/>
    <w:link w:val="PiedepginaCar"/>
    <w:uiPriority w:val="99"/>
    <w:unhideWhenUsed/>
    <w:rsid w:val="001B1D0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B1D0B"/>
  </w:style>
  <w:style w:type="paragraph" w:styleId="Ttulo">
    <w:name w:val="Title"/>
    <w:basedOn w:val="Normal"/>
    <w:next w:val="Normal"/>
    <w:link w:val="TtuloCar"/>
    <w:uiPriority w:val="10"/>
    <w:qFormat/>
    <w:rsid w:val="009B6FE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s-ES_tradnl" w:eastAsia="es-ES"/>
    </w:rPr>
  </w:style>
  <w:style w:type="character" w:customStyle="1" w:styleId="TtuloCar">
    <w:name w:val="Título Car"/>
    <w:basedOn w:val="Fuentedeprrafopredeter"/>
    <w:link w:val="Ttulo"/>
    <w:uiPriority w:val="10"/>
    <w:rsid w:val="009B6FEA"/>
    <w:rPr>
      <w:rFonts w:asciiTheme="majorHAnsi" w:eastAsiaTheme="majorEastAsia" w:hAnsiTheme="majorHAnsi" w:cstheme="majorBidi"/>
      <w:color w:val="323E4F" w:themeColor="text2" w:themeShade="BF"/>
      <w:spacing w:val="5"/>
      <w:kern w:val="28"/>
      <w:sz w:val="52"/>
      <w:szCs w:val="52"/>
      <w:lang w:val="es-ES_tradnl" w:eastAsia="es-ES"/>
    </w:rPr>
  </w:style>
  <w:style w:type="table" w:styleId="Cuadrculaclara-nfasis5">
    <w:name w:val="Light Grid Accent 5"/>
    <w:basedOn w:val="Tablanormal"/>
    <w:uiPriority w:val="62"/>
    <w:rsid w:val="009B6FEA"/>
    <w:pPr>
      <w:spacing w:after="0" w:line="240" w:lineRule="auto"/>
    </w:pPr>
    <w:rPr>
      <w:rFonts w:eastAsiaTheme="minorEastAsia"/>
      <w:sz w:val="24"/>
      <w:szCs w:val="24"/>
      <w:lang w:val="es-ES_tradnl" w:eastAsia="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Cuadrculaclara-nfasis2">
    <w:name w:val="Light Grid Accent 2"/>
    <w:basedOn w:val="Tablanormal"/>
    <w:uiPriority w:val="62"/>
    <w:rsid w:val="009B6FEA"/>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styleId="Prrafodelista">
    <w:name w:val="List Paragraph"/>
    <w:basedOn w:val="Normal"/>
    <w:uiPriority w:val="34"/>
    <w:qFormat/>
    <w:rsid w:val="00815B68"/>
    <w:pPr>
      <w:ind w:left="720"/>
      <w:contextualSpacing/>
    </w:pPr>
  </w:style>
  <w:style w:type="table" w:styleId="Listaclara-nfasis5">
    <w:name w:val="Light List Accent 5"/>
    <w:basedOn w:val="Tablanormal"/>
    <w:uiPriority w:val="61"/>
    <w:rsid w:val="00701DC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customStyle="1" w:styleId="Ttulo1Car">
    <w:name w:val="Título 1 Car"/>
    <w:basedOn w:val="Fuentedeprrafopredeter"/>
    <w:link w:val="Ttulo1"/>
    <w:rsid w:val="00B002B1"/>
    <w:rPr>
      <w:rFonts w:ascii="Cambria" w:eastAsia="Times New Roman" w:hAnsi="Cambria" w:cs="Times New Roman"/>
      <w:b/>
      <w:bCs/>
      <w:kern w:val="32"/>
      <w:sz w:val="32"/>
      <w:szCs w:val="32"/>
      <w:lang w:eastAsia="es-ES"/>
    </w:rPr>
  </w:style>
  <w:style w:type="table" w:styleId="Tablaconcuadrcula">
    <w:name w:val="Table Grid"/>
    <w:basedOn w:val="Tablanormal"/>
    <w:rsid w:val="00B002B1"/>
    <w:pPr>
      <w:spacing w:before="100"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2">
    <w:name w:val="Light Shading Accent 2"/>
    <w:basedOn w:val="Tablanormal"/>
    <w:uiPriority w:val="60"/>
    <w:rsid w:val="00B002B1"/>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aclara-nfasis2">
    <w:name w:val="Light List Accent 2"/>
    <w:basedOn w:val="Tablanormal"/>
    <w:uiPriority w:val="61"/>
    <w:rsid w:val="001D5B4C"/>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customStyle="1" w:styleId="Ttulo2Car">
    <w:name w:val="Título 2 Car"/>
    <w:basedOn w:val="Fuentedeprrafopredeter"/>
    <w:link w:val="Ttulo2"/>
    <w:uiPriority w:val="9"/>
    <w:semiHidden/>
    <w:rsid w:val="00BB691C"/>
    <w:rPr>
      <w:rFonts w:asciiTheme="majorHAnsi" w:eastAsiaTheme="majorEastAsia" w:hAnsiTheme="majorHAnsi" w:cstheme="majorBidi"/>
      <w:b/>
      <w:bCs/>
      <w:color w:val="5B9BD5" w:themeColor="accent1"/>
      <w:sz w:val="26"/>
      <w:szCs w:val="26"/>
    </w:rPr>
  </w:style>
  <w:style w:type="paragraph" w:styleId="NormalWeb">
    <w:name w:val="Normal (Web)"/>
    <w:basedOn w:val="Normal"/>
    <w:unhideWhenUsed/>
    <w:rsid w:val="00BB691C"/>
    <w:pPr>
      <w:spacing w:before="100" w:beforeAutospacing="1" w:after="100" w:afterAutospacing="1" w:line="240" w:lineRule="auto"/>
    </w:pPr>
    <w:rPr>
      <w:rFonts w:ascii="Times New Roman" w:eastAsia="Times New Roman" w:hAnsi="Times New Roman" w:cs="Times New Roman"/>
      <w:color w:val="000000"/>
      <w:sz w:val="24"/>
      <w:szCs w:val="24"/>
      <w:lang w:val="es-CO" w:eastAsia="es-CO"/>
    </w:rPr>
  </w:style>
  <w:style w:type="table" w:styleId="Sombreadoclaro-nfasis1">
    <w:name w:val="Light Shading Accent 1"/>
    <w:basedOn w:val="Tablanormal"/>
    <w:uiPriority w:val="60"/>
    <w:rsid w:val="00D34A5F"/>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Hipervnculo">
    <w:name w:val="Hyperlink"/>
    <w:basedOn w:val="Fuentedeprrafopredeter"/>
    <w:uiPriority w:val="99"/>
    <w:unhideWhenUsed/>
    <w:rsid w:val="00B9502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B002B1"/>
    <w:pPr>
      <w:keepNext/>
      <w:overflowPunct w:val="0"/>
      <w:autoSpaceDE w:val="0"/>
      <w:autoSpaceDN w:val="0"/>
      <w:adjustRightInd w:val="0"/>
      <w:spacing w:before="240" w:after="60" w:line="240" w:lineRule="auto"/>
      <w:textAlignment w:val="baseline"/>
      <w:outlineLvl w:val="0"/>
    </w:pPr>
    <w:rPr>
      <w:rFonts w:ascii="Cambria" w:eastAsia="Times New Roman" w:hAnsi="Cambria" w:cs="Times New Roman"/>
      <w:b/>
      <w:bCs/>
      <w:kern w:val="32"/>
      <w:sz w:val="32"/>
      <w:szCs w:val="32"/>
      <w:lang w:eastAsia="es-ES"/>
    </w:rPr>
  </w:style>
  <w:style w:type="paragraph" w:styleId="Ttulo2">
    <w:name w:val="heading 2"/>
    <w:basedOn w:val="Normal"/>
    <w:next w:val="Normal"/>
    <w:link w:val="Ttulo2Car"/>
    <w:uiPriority w:val="9"/>
    <w:semiHidden/>
    <w:unhideWhenUsed/>
    <w:qFormat/>
    <w:rsid w:val="00BB691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B172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B1728"/>
    <w:rPr>
      <w:rFonts w:ascii="Segoe UI" w:hAnsi="Segoe UI" w:cs="Segoe UI"/>
      <w:sz w:val="18"/>
      <w:szCs w:val="18"/>
    </w:rPr>
  </w:style>
  <w:style w:type="paragraph" w:styleId="Encabezado">
    <w:name w:val="header"/>
    <w:basedOn w:val="Normal"/>
    <w:link w:val="EncabezadoCar"/>
    <w:uiPriority w:val="99"/>
    <w:unhideWhenUsed/>
    <w:rsid w:val="001B1D0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B1D0B"/>
  </w:style>
  <w:style w:type="paragraph" w:styleId="Piedepgina">
    <w:name w:val="footer"/>
    <w:basedOn w:val="Normal"/>
    <w:link w:val="PiedepginaCar"/>
    <w:uiPriority w:val="99"/>
    <w:unhideWhenUsed/>
    <w:rsid w:val="001B1D0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B1D0B"/>
  </w:style>
  <w:style w:type="paragraph" w:styleId="Ttulo">
    <w:name w:val="Title"/>
    <w:basedOn w:val="Normal"/>
    <w:next w:val="Normal"/>
    <w:link w:val="TtuloCar"/>
    <w:uiPriority w:val="10"/>
    <w:qFormat/>
    <w:rsid w:val="009B6FE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s-ES_tradnl" w:eastAsia="es-ES"/>
    </w:rPr>
  </w:style>
  <w:style w:type="character" w:customStyle="1" w:styleId="TtuloCar">
    <w:name w:val="Título Car"/>
    <w:basedOn w:val="Fuentedeprrafopredeter"/>
    <w:link w:val="Ttulo"/>
    <w:uiPriority w:val="10"/>
    <w:rsid w:val="009B6FEA"/>
    <w:rPr>
      <w:rFonts w:asciiTheme="majorHAnsi" w:eastAsiaTheme="majorEastAsia" w:hAnsiTheme="majorHAnsi" w:cstheme="majorBidi"/>
      <w:color w:val="323E4F" w:themeColor="text2" w:themeShade="BF"/>
      <w:spacing w:val="5"/>
      <w:kern w:val="28"/>
      <w:sz w:val="52"/>
      <w:szCs w:val="52"/>
      <w:lang w:val="es-ES_tradnl" w:eastAsia="es-ES"/>
    </w:rPr>
  </w:style>
  <w:style w:type="table" w:styleId="Cuadrculaclara-nfasis5">
    <w:name w:val="Light Grid Accent 5"/>
    <w:basedOn w:val="Tablanormal"/>
    <w:uiPriority w:val="62"/>
    <w:rsid w:val="009B6FEA"/>
    <w:pPr>
      <w:spacing w:after="0" w:line="240" w:lineRule="auto"/>
    </w:pPr>
    <w:rPr>
      <w:rFonts w:eastAsiaTheme="minorEastAsia"/>
      <w:sz w:val="24"/>
      <w:szCs w:val="24"/>
      <w:lang w:val="es-ES_tradnl" w:eastAsia="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Cuadrculaclara-nfasis2">
    <w:name w:val="Light Grid Accent 2"/>
    <w:basedOn w:val="Tablanormal"/>
    <w:uiPriority w:val="62"/>
    <w:rsid w:val="009B6FEA"/>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styleId="Prrafodelista">
    <w:name w:val="List Paragraph"/>
    <w:basedOn w:val="Normal"/>
    <w:uiPriority w:val="34"/>
    <w:qFormat/>
    <w:rsid w:val="00815B68"/>
    <w:pPr>
      <w:ind w:left="720"/>
      <w:contextualSpacing/>
    </w:pPr>
  </w:style>
  <w:style w:type="table" w:styleId="Listaclara-nfasis5">
    <w:name w:val="Light List Accent 5"/>
    <w:basedOn w:val="Tablanormal"/>
    <w:uiPriority w:val="61"/>
    <w:rsid w:val="00701DC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customStyle="1" w:styleId="Ttulo1Car">
    <w:name w:val="Título 1 Car"/>
    <w:basedOn w:val="Fuentedeprrafopredeter"/>
    <w:link w:val="Ttulo1"/>
    <w:rsid w:val="00B002B1"/>
    <w:rPr>
      <w:rFonts w:ascii="Cambria" w:eastAsia="Times New Roman" w:hAnsi="Cambria" w:cs="Times New Roman"/>
      <w:b/>
      <w:bCs/>
      <w:kern w:val="32"/>
      <w:sz w:val="32"/>
      <w:szCs w:val="32"/>
      <w:lang w:eastAsia="es-ES"/>
    </w:rPr>
  </w:style>
  <w:style w:type="table" w:styleId="Tablaconcuadrcula">
    <w:name w:val="Table Grid"/>
    <w:basedOn w:val="Tablanormal"/>
    <w:rsid w:val="00B002B1"/>
    <w:pPr>
      <w:spacing w:before="100"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2">
    <w:name w:val="Light Shading Accent 2"/>
    <w:basedOn w:val="Tablanormal"/>
    <w:uiPriority w:val="60"/>
    <w:rsid w:val="00B002B1"/>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aclara-nfasis2">
    <w:name w:val="Light List Accent 2"/>
    <w:basedOn w:val="Tablanormal"/>
    <w:uiPriority w:val="61"/>
    <w:rsid w:val="001D5B4C"/>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customStyle="1" w:styleId="Ttulo2Car">
    <w:name w:val="Título 2 Car"/>
    <w:basedOn w:val="Fuentedeprrafopredeter"/>
    <w:link w:val="Ttulo2"/>
    <w:uiPriority w:val="9"/>
    <w:semiHidden/>
    <w:rsid w:val="00BB691C"/>
    <w:rPr>
      <w:rFonts w:asciiTheme="majorHAnsi" w:eastAsiaTheme="majorEastAsia" w:hAnsiTheme="majorHAnsi" w:cstheme="majorBidi"/>
      <w:b/>
      <w:bCs/>
      <w:color w:val="5B9BD5" w:themeColor="accent1"/>
      <w:sz w:val="26"/>
      <w:szCs w:val="26"/>
    </w:rPr>
  </w:style>
  <w:style w:type="paragraph" w:styleId="NormalWeb">
    <w:name w:val="Normal (Web)"/>
    <w:basedOn w:val="Normal"/>
    <w:unhideWhenUsed/>
    <w:rsid w:val="00BB691C"/>
    <w:pPr>
      <w:spacing w:before="100" w:beforeAutospacing="1" w:after="100" w:afterAutospacing="1" w:line="240" w:lineRule="auto"/>
    </w:pPr>
    <w:rPr>
      <w:rFonts w:ascii="Times New Roman" w:eastAsia="Times New Roman" w:hAnsi="Times New Roman" w:cs="Times New Roman"/>
      <w:color w:val="000000"/>
      <w:sz w:val="24"/>
      <w:szCs w:val="24"/>
      <w:lang w:val="es-CO" w:eastAsia="es-CO"/>
    </w:rPr>
  </w:style>
  <w:style w:type="table" w:styleId="Sombreadoclaro-nfasis1">
    <w:name w:val="Light Shading Accent 1"/>
    <w:basedOn w:val="Tablanormal"/>
    <w:uiPriority w:val="60"/>
    <w:rsid w:val="00D34A5F"/>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Hipervnculo">
    <w:name w:val="Hyperlink"/>
    <w:basedOn w:val="Fuentedeprrafopredeter"/>
    <w:uiPriority w:val="99"/>
    <w:unhideWhenUsed/>
    <w:rsid w:val="00B950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995">
      <w:bodyDiv w:val="1"/>
      <w:marLeft w:val="0"/>
      <w:marRight w:val="0"/>
      <w:marTop w:val="0"/>
      <w:marBottom w:val="0"/>
      <w:divBdr>
        <w:top w:val="none" w:sz="0" w:space="0" w:color="auto"/>
        <w:left w:val="none" w:sz="0" w:space="0" w:color="auto"/>
        <w:bottom w:val="none" w:sz="0" w:space="0" w:color="auto"/>
        <w:right w:val="none" w:sz="0" w:space="0" w:color="auto"/>
      </w:divBdr>
    </w:div>
    <w:div w:id="13775796">
      <w:bodyDiv w:val="1"/>
      <w:marLeft w:val="0"/>
      <w:marRight w:val="0"/>
      <w:marTop w:val="0"/>
      <w:marBottom w:val="0"/>
      <w:divBdr>
        <w:top w:val="none" w:sz="0" w:space="0" w:color="auto"/>
        <w:left w:val="none" w:sz="0" w:space="0" w:color="auto"/>
        <w:bottom w:val="none" w:sz="0" w:space="0" w:color="auto"/>
        <w:right w:val="none" w:sz="0" w:space="0" w:color="auto"/>
      </w:divBdr>
    </w:div>
    <w:div w:id="23947821">
      <w:bodyDiv w:val="1"/>
      <w:marLeft w:val="0"/>
      <w:marRight w:val="0"/>
      <w:marTop w:val="0"/>
      <w:marBottom w:val="0"/>
      <w:divBdr>
        <w:top w:val="none" w:sz="0" w:space="0" w:color="auto"/>
        <w:left w:val="none" w:sz="0" w:space="0" w:color="auto"/>
        <w:bottom w:val="none" w:sz="0" w:space="0" w:color="auto"/>
        <w:right w:val="none" w:sz="0" w:space="0" w:color="auto"/>
      </w:divBdr>
    </w:div>
    <w:div w:id="54017138">
      <w:bodyDiv w:val="1"/>
      <w:marLeft w:val="0"/>
      <w:marRight w:val="0"/>
      <w:marTop w:val="0"/>
      <w:marBottom w:val="0"/>
      <w:divBdr>
        <w:top w:val="none" w:sz="0" w:space="0" w:color="auto"/>
        <w:left w:val="none" w:sz="0" w:space="0" w:color="auto"/>
        <w:bottom w:val="none" w:sz="0" w:space="0" w:color="auto"/>
        <w:right w:val="none" w:sz="0" w:space="0" w:color="auto"/>
      </w:divBdr>
    </w:div>
    <w:div w:id="247423092">
      <w:bodyDiv w:val="1"/>
      <w:marLeft w:val="0"/>
      <w:marRight w:val="0"/>
      <w:marTop w:val="0"/>
      <w:marBottom w:val="0"/>
      <w:divBdr>
        <w:top w:val="none" w:sz="0" w:space="0" w:color="auto"/>
        <w:left w:val="none" w:sz="0" w:space="0" w:color="auto"/>
        <w:bottom w:val="none" w:sz="0" w:space="0" w:color="auto"/>
        <w:right w:val="none" w:sz="0" w:space="0" w:color="auto"/>
      </w:divBdr>
    </w:div>
    <w:div w:id="254049463">
      <w:bodyDiv w:val="1"/>
      <w:marLeft w:val="0"/>
      <w:marRight w:val="0"/>
      <w:marTop w:val="0"/>
      <w:marBottom w:val="0"/>
      <w:divBdr>
        <w:top w:val="none" w:sz="0" w:space="0" w:color="auto"/>
        <w:left w:val="none" w:sz="0" w:space="0" w:color="auto"/>
        <w:bottom w:val="none" w:sz="0" w:space="0" w:color="auto"/>
        <w:right w:val="none" w:sz="0" w:space="0" w:color="auto"/>
      </w:divBdr>
    </w:div>
    <w:div w:id="254243334">
      <w:bodyDiv w:val="1"/>
      <w:marLeft w:val="0"/>
      <w:marRight w:val="0"/>
      <w:marTop w:val="0"/>
      <w:marBottom w:val="0"/>
      <w:divBdr>
        <w:top w:val="none" w:sz="0" w:space="0" w:color="auto"/>
        <w:left w:val="none" w:sz="0" w:space="0" w:color="auto"/>
        <w:bottom w:val="none" w:sz="0" w:space="0" w:color="auto"/>
        <w:right w:val="none" w:sz="0" w:space="0" w:color="auto"/>
      </w:divBdr>
    </w:div>
    <w:div w:id="283729543">
      <w:bodyDiv w:val="1"/>
      <w:marLeft w:val="0"/>
      <w:marRight w:val="0"/>
      <w:marTop w:val="0"/>
      <w:marBottom w:val="0"/>
      <w:divBdr>
        <w:top w:val="none" w:sz="0" w:space="0" w:color="auto"/>
        <w:left w:val="none" w:sz="0" w:space="0" w:color="auto"/>
        <w:bottom w:val="none" w:sz="0" w:space="0" w:color="auto"/>
        <w:right w:val="none" w:sz="0" w:space="0" w:color="auto"/>
      </w:divBdr>
    </w:div>
    <w:div w:id="297222931">
      <w:bodyDiv w:val="1"/>
      <w:marLeft w:val="0"/>
      <w:marRight w:val="0"/>
      <w:marTop w:val="0"/>
      <w:marBottom w:val="0"/>
      <w:divBdr>
        <w:top w:val="none" w:sz="0" w:space="0" w:color="auto"/>
        <w:left w:val="none" w:sz="0" w:space="0" w:color="auto"/>
        <w:bottom w:val="none" w:sz="0" w:space="0" w:color="auto"/>
        <w:right w:val="none" w:sz="0" w:space="0" w:color="auto"/>
      </w:divBdr>
    </w:div>
    <w:div w:id="352003489">
      <w:bodyDiv w:val="1"/>
      <w:marLeft w:val="0"/>
      <w:marRight w:val="0"/>
      <w:marTop w:val="0"/>
      <w:marBottom w:val="0"/>
      <w:divBdr>
        <w:top w:val="none" w:sz="0" w:space="0" w:color="auto"/>
        <w:left w:val="none" w:sz="0" w:space="0" w:color="auto"/>
        <w:bottom w:val="none" w:sz="0" w:space="0" w:color="auto"/>
        <w:right w:val="none" w:sz="0" w:space="0" w:color="auto"/>
      </w:divBdr>
    </w:div>
    <w:div w:id="379209928">
      <w:bodyDiv w:val="1"/>
      <w:marLeft w:val="0"/>
      <w:marRight w:val="0"/>
      <w:marTop w:val="0"/>
      <w:marBottom w:val="0"/>
      <w:divBdr>
        <w:top w:val="none" w:sz="0" w:space="0" w:color="auto"/>
        <w:left w:val="none" w:sz="0" w:space="0" w:color="auto"/>
        <w:bottom w:val="none" w:sz="0" w:space="0" w:color="auto"/>
        <w:right w:val="none" w:sz="0" w:space="0" w:color="auto"/>
      </w:divBdr>
    </w:div>
    <w:div w:id="380859257">
      <w:bodyDiv w:val="1"/>
      <w:marLeft w:val="0"/>
      <w:marRight w:val="0"/>
      <w:marTop w:val="0"/>
      <w:marBottom w:val="0"/>
      <w:divBdr>
        <w:top w:val="none" w:sz="0" w:space="0" w:color="auto"/>
        <w:left w:val="none" w:sz="0" w:space="0" w:color="auto"/>
        <w:bottom w:val="none" w:sz="0" w:space="0" w:color="auto"/>
        <w:right w:val="none" w:sz="0" w:space="0" w:color="auto"/>
      </w:divBdr>
    </w:div>
    <w:div w:id="419299649">
      <w:bodyDiv w:val="1"/>
      <w:marLeft w:val="0"/>
      <w:marRight w:val="0"/>
      <w:marTop w:val="0"/>
      <w:marBottom w:val="0"/>
      <w:divBdr>
        <w:top w:val="none" w:sz="0" w:space="0" w:color="auto"/>
        <w:left w:val="none" w:sz="0" w:space="0" w:color="auto"/>
        <w:bottom w:val="none" w:sz="0" w:space="0" w:color="auto"/>
        <w:right w:val="none" w:sz="0" w:space="0" w:color="auto"/>
      </w:divBdr>
    </w:div>
    <w:div w:id="482544663">
      <w:bodyDiv w:val="1"/>
      <w:marLeft w:val="0"/>
      <w:marRight w:val="0"/>
      <w:marTop w:val="0"/>
      <w:marBottom w:val="0"/>
      <w:divBdr>
        <w:top w:val="none" w:sz="0" w:space="0" w:color="auto"/>
        <w:left w:val="none" w:sz="0" w:space="0" w:color="auto"/>
        <w:bottom w:val="none" w:sz="0" w:space="0" w:color="auto"/>
        <w:right w:val="none" w:sz="0" w:space="0" w:color="auto"/>
      </w:divBdr>
    </w:div>
    <w:div w:id="535510244">
      <w:bodyDiv w:val="1"/>
      <w:marLeft w:val="0"/>
      <w:marRight w:val="0"/>
      <w:marTop w:val="0"/>
      <w:marBottom w:val="0"/>
      <w:divBdr>
        <w:top w:val="none" w:sz="0" w:space="0" w:color="auto"/>
        <w:left w:val="none" w:sz="0" w:space="0" w:color="auto"/>
        <w:bottom w:val="none" w:sz="0" w:space="0" w:color="auto"/>
        <w:right w:val="none" w:sz="0" w:space="0" w:color="auto"/>
      </w:divBdr>
    </w:div>
    <w:div w:id="556353722">
      <w:bodyDiv w:val="1"/>
      <w:marLeft w:val="0"/>
      <w:marRight w:val="0"/>
      <w:marTop w:val="0"/>
      <w:marBottom w:val="0"/>
      <w:divBdr>
        <w:top w:val="none" w:sz="0" w:space="0" w:color="auto"/>
        <w:left w:val="none" w:sz="0" w:space="0" w:color="auto"/>
        <w:bottom w:val="none" w:sz="0" w:space="0" w:color="auto"/>
        <w:right w:val="none" w:sz="0" w:space="0" w:color="auto"/>
      </w:divBdr>
    </w:div>
    <w:div w:id="577716569">
      <w:bodyDiv w:val="1"/>
      <w:marLeft w:val="0"/>
      <w:marRight w:val="0"/>
      <w:marTop w:val="0"/>
      <w:marBottom w:val="0"/>
      <w:divBdr>
        <w:top w:val="none" w:sz="0" w:space="0" w:color="auto"/>
        <w:left w:val="none" w:sz="0" w:space="0" w:color="auto"/>
        <w:bottom w:val="none" w:sz="0" w:space="0" w:color="auto"/>
        <w:right w:val="none" w:sz="0" w:space="0" w:color="auto"/>
      </w:divBdr>
    </w:div>
    <w:div w:id="577791170">
      <w:bodyDiv w:val="1"/>
      <w:marLeft w:val="0"/>
      <w:marRight w:val="0"/>
      <w:marTop w:val="0"/>
      <w:marBottom w:val="0"/>
      <w:divBdr>
        <w:top w:val="none" w:sz="0" w:space="0" w:color="auto"/>
        <w:left w:val="none" w:sz="0" w:space="0" w:color="auto"/>
        <w:bottom w:val="none" w:sz="0" w:space="0" w:color="auto"/>
        <w:right w:val="none" w:sz="0" w:space="0" w:color="auto"/>
      </w:divBdr>
    </w:div>
    <w:div w:id="679233340">
      <w:bodyDiv w:val="1"/>
      <w:marLeft w:val="0"/>
      <w:marRight w:val="0"/>
      <w:marTop w:val="0"/>
      <w:marBottom w:val="0"/>
      <w:divBdr>
        <w:top w:val="none" w:sz="0" w:space="0" w:color="auto"/>
        <w:left w:val="none" w:sz="0" w:space="0" w:color="auto"/>
        <w:bottom w:val="none" w:sz="0" w:space="0" w:color="auto"/>
        <w:right w:val="none" w:sz="0" w:space="0" w:color="auto"/>
      </w:divBdr>
    </w:div>
    <w:div w:id="738870703">
      <w:bodyDiv w:val="1"/>
      <w:marLeft w:val="0"/>
      <w:marRight w:val="0"/>
      <w:marTop w:val="0"/>
      <w:marBottom w:val="0"/>
      <w:divBdr>
        <w:top w:val="none" w:sz="0" w:space="0" w:color="auto"/>
        <w:left w:val="none" w:sz="0" w:space="0" w:color="auto"/>
        <w:bottom w:val="none" w:sz="0" w:space="0" w:color="auto"/>
        <w:right w:val="none" w:sz="0" w:space="0" w:color="auto"/>
      </w:divBdr>
    </w:div>
    <w:div w:id="747963363">
      <w:bodyDiv w:val="1"/>
      <w:marLeft w:val="0"/>
      <w:marRight w:val="0"/>
      <w:marTop w:val="0"/>
      <w:marBottom w:val="0"/>
      <w:divBdr>
        <w:top w:val="none" w:sz="0" w:space="0" w:color="auto"/>
        <w:left w:val="none" w:sz="0" w:space="0" w:color="auto"/>
        <w:bottom w:val="none" w:sz="0" w:space="0" w:color="auto"/>
        <w:right w:val="none" w:sz="0" w:space="0" w:color="auto"/>
      </w:divBdr>
    </w:div>
    <w:div w:id="748427893">
      <w:bodyDiv w:val="1"/>
      <w:marLeft w:val="0"/>
      <w:marRight w:val="0"/>
      <w:marTop w:val="0"/>
      <w:marBottom w:val="0"/>
      <w:divBdr>
        <w:top w:val="none" w:sz="0" w:space="0" w:color="auto"/>
        <w:left w:val="none" w:sz="0" w:space="0" w:color="auto"/>
        <w:bottom w:val="none" w:sz="0" w:space="0" w:color="auto"/>
        <w:right w:val="none" w:sz="0" w:space="0" w:color="auto"/>
      </w:divBdr>
    </w:div>
    <w:div w:id="750663488">
      <w:bodyDiv w:val="1"/>
      <w:marLeft w:val="0"/>
      <w:marRight w:val="0"/>
      <w:marTop w:val="0"/>
      <w:marBottom w:val="0"/>
      <w:divBdr>
        <w:top w:val="none" w:sz="0" w:space="0" w:color="auto"/>
        <w:left w:val="none" w:sz="0" w:space="0" w:color="auto"/>
        <w:bottom w:val="none" w:sz="0" w:space="0" w:color="auto"/>
        <w:right w:val="none" w:sz="0" w:space="0" w:color="auto"/>
      </w:divBdr>
    </w:div>
    <w:div w:id="762650000">
      <w:bodyDiv w:val="1"/>
      <w:marLeft w:val="0"/>
      <w:marRight w:val="0"/>
      <w:marTop w:val="0"/>
      <w:marBottom w:val="0"/>
      <w:divBdr>
        <w:top w:val="none" w:sz="0" w:space="0" w:color="auto"/>
        <w:left w:val="none" w:sz="0" w:space="0" w:color="auto"/>
        <w:bottom w:val="none" w:sz="0" w:space="0" w:color="auto"/>
        <w:right w:val="none" w:sz="0" w:space="0" w:color="auto"/>
      </w:divBdr>
    </w:div>
    <w:div w:id="786048722">
      <w:bodyDiv w:val="1"/>
      <w:marLeft w:val="0"/>
      <w:marRight w:val="0"/>
      <w:marTop w:val="0"/>
      <w:marBottom w:val="0"/>
      <w:divBdr>
        <w:top w:val="none" w:sz="0" w:space="0" w:color="auto"/>
        <w:left w:val="none" w:sz="0" w:space="0" w:color="auto"/>
        <w:bottom w:val="none" w:sz="0" w:space="0" w:color="auto"/>
        <w:right w:val="none" w:sz="0" w:space="0" w:color="auto"/>
      </w:divBdr>
    </w:div>
    <w:div w:id="797575617">
      <w:bodyDiv w:val="1"/>
      <w:marLeft w:val="0"/>
      <w:marRight w:val="0"/>
      <w:marTop w:val="0"/>
      <w:marBottom w:val="0"/>
      <w:divBdr>
        <w:top w:val="none" w:sz="0" w:space="0" w:color="auto"/>
        <w:left w:val="none" w:sz="0" w:space="0" w:color="auto"/>
        <w:bottom w:val="none" w:sz="0" w:space="0" w:color="auto"/>
        <w:right w:val="none" w:sz="0" w:space="0" w:color="auto"/>
      </w:divBdr>
    </w:div>
    <w:div w:id="804472710">
      <w:bodyDiv w:val="1"/>
      <w:marLeft w:val="0"/>
      <w:marRight w:val="0"/>
      <w:marTop w:val="0"/>
      <w:marBottom w:val="0"/>
      <w:divBdr>
        <w:top w:val="none" w:sz="0" w:space="0" w:color="auto"/>
        <w:left w:val="none" w:sz="0" w:space="0" w:color="auto"/>
        <w:bottom w:val="none" w:sz="0" w:space="0" w:color="auto"/>
        <w:right w:val="none" w:sz="0" w:space="0" w:color="auto"/>
      </w:divBdr>
    </w:div>
    <w:div w:id="832377128">
      <w:bodyDiv w:val="1"/>
      <w:marLeft w:val="0"/>
      <w:marRight w:val="0"/>
      <w:marTop w:val="0"/>
      <w:marBottom w:val="0"/>
      <w:divBdr>
        <w:top w:val="none" w:sz="0" w:space="0" w:color="auto"/>
        <w:left w:val="none" w:sz="0" w:space="0" w:color="auto"/>
        <w:bottom w:val="none" w:sz="0" w:space="0" w:color="auto"/>
        <w:right w:val="none" w:sz="0" w:space="0" w:color="auto"/>
      </w:divBdr>
    </w:div>
    <w:div w:id="832532442">
      <w:bodyDiv w:val="1"/>
      <w:marLeft w:val="0"/>
      <w:marRight w:val="0"/>
      <w:marTop w:val="0"/>
      <w:marBottom w:val="0"/>
      <w:divBdr>
        <w:top w:val="none" w:sz="0" w:space="0" w:color="auto"/>
        <w:left w:val="none" w:sz="0" w:space="0" w:color="auto"/>
        <w:bottom w:val="none" w:sz="0" w:space="0" w:color="auto"/>
        <w:right w:val="none" w:sz="0" w:space="0" w:color="auto"/>
      </w:divBdr>
    </w:div>
    <w:div w:id="904998679">
      <w:bodyDiv w:val="1"/>
      <w:marLeft w:val="0"/>
      <w:marRight w:val="0"/>
      <w:marTop w:val="0"/>
      <w:marBottom w:val="0"/>
      <w:divBdr>
        <w:top w:val="none" w:sz="0" w:space="0" w:color="auto"/>
        <w:left w:val="none" w:sz="0" w:space="0" w:color="auto"/>
        <w:bottom w:val="none" w:sz="0" w:space="0" w:color="auto"/>
        <w:right w:val="none" w:sz="0" w:space="0" w:color="auto"/>
      </w:divBdr>
    </w:div>
    <w:div w:id="920798135">
      <w:bodyDiv w:val="1"/>
      <w:marLeft w:val="0"/>
      <w:marRight w:val="0"/>
      <w:marTop w:val="0"/>
      <w:marBottom w:val="0"/>
      <w:divBdr>
        <w:top w:val="none" w:sz="0" w:space="0" w:color="auto"/>
        <w:left w:val="none" w:sz="0" w:space="0" w:color="auto"/>
        <w:bottom w:val="none" w:sz="0" w:space="0" w:color="auto"/>
        <w:right w:val="none" w:sz="0" w:space="0" w:color="auto"/>
      </w:divBdr>
    </w:div>
    <w:div w:id="929194636">
      <w:bodyDiv w:val="1"/>
      <w:marLeft w:val="0"/>
      <w:marRight w:val="0"/>
      <w:marTop w:val="0"/>
      <w:marBottom w:val="0"/>
      <w:divBdr>
        <w:top w:val="none" w:sz="0" w:space="0" w:color="auto"/>
        <w:left w:val="none" w:sz="0" w:space="0" w:color="auto"/>
        <w:bottom w:val="none" w:sz="0" w:space="0" w:color="auto"/>
        <w:right w:val="none" w:sz="0" w:space="0" w:color="auto"/>
      </w:divBdr>
    </w:div>
    <w:div w:id="968780288">
      <w:bodyDiv w:val="1"/>
      <w:marLeft w:val="0"/>
      <w:marRight w:val="0"/>
      <w:marTop w:val="0"/>
      <w:marBottom w:val="0"/>
      <w:divBdr>
        <w:top w:val="none" w:sz="0" w:space="0" w:color="auto"/>
        <w:left w:val="none" w:sz="0" w:space="0" w:color="auto"/>
        <w:bottom w:val="none" w:sz="0" w:space="0" w:color="auto"/>
        <w:right w:val="none" w:sz="0" w:space="0" w:color="auto"/>
      </w:divBdr>
    </w:div>
    <w:div w:id="993414210">
      <w:bodyDiv w:val="1"/>
      <w:marLeft w:val="0"/>
      <w:marRight w:val="0"/>
      <w:marTop w:val="0"/>
      <w:marBottom w:val="0"/>
      <w:divBdr>
        <w:top w:val="none" w:sz="0" w:space="0" w:color="auto"/>
        <w:left w:val="none" w:sz="0" w:space="0" w:color="auto"/>
        <w:bottom w:val="none" w:sz="0" w:space="0" w:color="auto"/>
        <w:right w:val="none" w:sz="0" w:space="0" w:color="auto"/>
      </w:divBdr>
    </w:div>
    <w:div w:id="1090466051">
      <w:bodyDiv w:val="1"/>
      <w:marLeft w:val="0"/>
      <w:marRight w:val="0"/>
      <w:marTop w:val="0"/>
      <w:marBottom w:val="0"/>
      <w:divBdr>
        <w:top w:val="none" w:sz="0" w:space="0" w:color="auto"/>
        <w:left w:val="none" w:sz="0" w:space="0" w:color="auto"/>
        <w:bottom w:val="none" w:sz="0" w:space="0" w:color="auto"/>
        <w:right w:val="none" w:sz="0" w:space="0" w:color="auto"/>
      </w:divBdr>
    </w:div>
    <w:div w:id="1108543541">
      <w:bodyDiv w:val="1"/>
      <w:marLeft w:val="0"/>
      <w:marRight w:val="0"/>
      <w:marTop w:val="0"/>
      <w:marBottom w:val="0"/>
      <w:divBdr>
        <w:top w:val="none" w:sz="0" w:space="0" w:color="auto"/>
        <w:left w:val="none" w:sz="0" w:space="0" w:color="auto"/>
        <w:bottom w:val="none" w:sz="0" w:space="0" w:color="auto"/>
        <w:right w:val="none" w:sz="0" w:space="0" w:color="auto"/>
      </w:divBdr>
    </w:div>
    <w:div w:id="1108810747">
      <w:bodyDiv w:val="1"/>
      <w:marLeft w:val="0"/>
      <w:marRight w:val="0"/>
      <w:marTop w:val="0"/>
      <w:marBottom w:val="0"/>
      <w:divBdr>
        <w:top w:val="none" w:sz="0" w:space="0" w:color="auto"/>
        <w:left w:val="none" w:sz="0" w:space="0" w:color="auto"/>
        <w:bottom w:val="none" w:sz="0" w:space="0" w:color="auto"/>
        <w:right w:val="none" w:sz="0" w:space="0" w:color="auto"/>
      </w:divBdr>
    </w:div>
    <w:div w:id="1110510907">
      <w:bodyDiv w:val="1"/>
      <w:marLeft w:val="0"/>
      <w:marRight w:val="0"/>
      <w:marTop w:val="0"/>
      <w:marBottom w:val="0"/>
      <w:divBdr>
        <w:top w:val="none" w:sz="0" w:space="0" w:color="auto"/>
        <w:left w:val="none" w:sz="0" w:space="0" w:color="auto"/>
        <w:bottom w:val="none" w:sz="0" w:space="0" w:color="auto"/>
        <w:right w:val="none" w:sz="0" w:space="0" w:color="auto"/>
      </w:divBdr>
    </w:div>
    <w:div w:id="1121459667">
      <w:bodyDiv w:val="1"/>
      <w:marLeft w:val="0"/>
      <w:marRight w:val="0"/>
      <w:marTop w:val="0"/>
      <w:marBottom w:val="0"/>
      <w:divBdr>
        <w:top w:val="none" w:sz="0" w:space="0" w:color="auto"/>
        <w:left w:val="none" w:sz="0" w:space="0" w:color="auto"/>
        <w:bottom w:val="none" w:sz="0" w:space="0" w:color="auto"/>
        <w:right w:val="none" w:sz="0" w:space="0" w:color="auto"/>
      </w:divBdr>
    </w:div>
    <w:div w:id="1172448713">
      <w:bodyDiv w:val="1"/>
      <w:marLeft w:val="0"/>
      <w:marRight w:val="0"/>
      <w:marTop w:val="0"/>
      <w:marBottom w:val="0"/>
      <w:divBdr>
        <w:top w:val="none" w:sz="0" w:space="0" w:color="auto"/>
        <w:left w:val="none" w:sz="0" w:space="0" w:color="auto"/>
        <w:bottom w:val="none" w:sz="0" w:space="0" w:color="auto"/>
        <w:right w:val="none" w:sz="0" w:space="0" w:color="auto"/>
      </w:divBdr>
    </w:div>
    <w:div w:id="1268149985">
      <w:bodyDiv w:val="1"/>
      <w:marLeft w:val="0"/>
      <w:marRight w:val="0"/>
      <w:marTop w:val="0"/>
      <w:marBottom w:val="0"/>
      <w:divBdr>
        <w:top w:val="none" w:sz="0" w:space="0" w:color="auto"/>
        <w:left w:val="none" w:sz="0" w:space="0" w:color="auto"/>
        <w:bottom w:val="none" w:sz="0" w:space="0" w:color="auto"/>
        <w:right w:val="none" w:sz="0" w:space="0" w:color="auto"/>
      </w:divBdr>
    </w:div>
    <w:div w:id="1306621022">
      <w:bodyDiv w:val="1"/>
      <w:marLeft w:val="0"/>
      <w:marRight w:val="0"/>
      <w:marTop w:val="0"/>
      <w:marBottom w:val="0"/>
      <w:divBdr>
        <w:top w:val="none" w:sz="0" w:space="0" w:color="auto"/>
        <w:left w:val="none" w:sz="0" w:space="0" w:color="auto"/>
        <w:bottom w:val="none" w:sz="0" w:space="0" w:color="auto"/>
        <w:right w:val="none" w:sz="0" w:space="0" w:color="auto"/>
      </w:divBdr>
    </w:div>
    <w:div w:id="1410423654">
      <w:bodyDiv w:val="1"/>
      <w:marLeft w:val="0"/>
      <w:marRight w:val="0"/>
      <w:marTop w:val="0"/>
      <w:marBottom w:val="0"/>
      <w:divBdr>
        <w:top w:val="none" w:sz="0" w:space="0" w:color="auto"/>
        <w:left w:val="none" w:sz="0" w:space="0" w:color="auto"/>
        <w:bottom w:val="none" w:sz="0" w:space="0" w:color="auto"/>
        <w:right w:val="none" w:sz="0" w:space="0" w:color="auto"/>
      </w:divBdr>
    </w:div>
    <w:div w:id="1416899757">
      <w:bodyDiv w:val="1"/>
      <w:marLeft w:val="0"/>
      <w:marRight w:val="0"/>
      <w:marTop w:val="0"/>
      <w:marBottom w:val="0"/>
      <w:divBdr>
        <w:top w:val="none" w:sz="0" w:space="0" w:color="auto"/>
        <w:left w:val="none" w:sz="0" w:space="0" w:color="auto"/>
        <w:bottom w:val="none" w:sz="0" w:space="0" w:color="auto"/>
        <w:right w:val="none" w:sz="0" w:space="0" w:color="auto"/>
      </w:divBdr>
    </w:div>
    <w:div w:id="1439641143">
      <w:bodyDiv w:val="1"/>
      <w:marLeft w:val="0"/>
      <w:marRight w:val="0"/>
      <w:marTop w:val="0"/>
      <w:marBottom w:val="0"/>
      <w:divBdr>
        <w:top w:val="none" w:sz="0" w:space="0" w:color="auto"/>
        <w:left w:val="none" w:sz="0" w:space="0" w:color="auto"/>
        <w:bottom w:val="none" w:sz="0" w:space="0" w:color="auto"/>
        <w:right w:val="none" w:sz="0" w:space="0" w:color="auto"/>
      </w:divBdr>
      <w:divsChild>
        <w:div w:id="1979263371">
          <w:marLeft w:val="0"/>
          <w:marRight w:val="0"/>
          <w:marTop w:val="0"/>
          <w:marBottom w:val="0"/>
          <w:divBdr>
            <w:top w:val="none" w:sz="0" w:space="0" w:color="auto"/>
            <w:left w:val="none" w:sz="0" w:space="0" w:color="auto"/>
            <w:bottom w:val="none" w:sz="0" w:space="0" w:color="auto"/>
            <w:right w:val="none" w:sz="0" w:space="0" w:color="auto"/>
          </w:divBdr>
        </w:div>
        <w:div w:id="1436904241">
          <w:marLeft w:val="0"/>
          <w:marRight w:val="0"/>
          <w:marTop w:val="0"/>
          <w:marBottom w:val="0"/>
          <w:divBdr>
            <w:top w:val="none" w:sz="0" w:space="0" w:color="auto"/>
            <w:left w:val="none" w:sz="0" w:space="0" w:color="auto"/>
            <w:bottom w:val="none" w:sz="0" w:space="0" w:color="auto"/>
            <w:right w:val="none" w:sz="0" w:space="0" w:color="auto"/>
          </w:divBdr>
        </w:div>
        <w:div w:id="1511337382">
          <w:marLeft w:val="0"/>
          <w:marRight w:val="0"/>
          <w:marTop w:val="0"/>
          <w:marBottom w:val="0"/>
          <w:divBdr>
            <w:top w:val="none" w:sz="0" w:space="0" w:color="auto"/>
            <w:left w:val="none" w:sz="0" w:space="0" w:color="auto"/>
            <w:bottom w:val="none" w:sz="0" w:space="0" w:color="auto"/>
            <w:right w:val="none" w:sz="0" w:space="0" w:color="auto"/>
          </w:divBdr>
        </w:div>
      </w:divsChild>
    </w:div>
    <w:div w:id="1458839272">
      <w:bodyDiv w:val="1"/>
      <w:marLeft w:val="0"/>
      <w:marRight w:val="0"/>
      <w:marTop w:val="0"/>
      <w:marBottom w:val="0"/>
      <w:divBdr>
        <w:top w:val="none" w:sz="0" w:space="0" w:color="auto"/>
        <w:left w:val="none" w:sz="0" w:space="0" w:color="auto"/>
        <w:bottom w:val="none" w:sz="0" w:space="0" w:color="auto"/>
        <w:right w:val="none" w:sz="0" w:space="0" w:color="auto"/>
      </w:divBdr>
    </w:div>
    <w:div w:id="1480003095">
      <w:bodyDiv w:val="1"/>
      <w:marLeft w:val="0"/>
      <w:marRight w:val="0"/>
      <w:marTop w:val="0"/>
      <w:marBottom w:val="0"/>
      <w:divBdr>
        <w:top w:val="none" w:sz="0" w:space="0" w:color="auto"/>
        <w:left w:val="none" w:sz="0" w:space="0" w:color="auto"/>
        <w:bottom w:val="none" w:sz="0" w:space="0" w:color="auto"/>
        <w:right w:val="none" w:sz="0" w:space="0" w:color="auto"/>
      </w:divBdr>
    </w:div>
    <w:div w:id="1481649534">
      <w:bodyDiv w:val="1"/>
      <w:marLeft w:val="0"/>
      <w:marRight w:val="0"/>
      <w:marTop w:val="0"/>
      <w:marBottom w:val="0"/>
      <w:divBdr>
        <w:top w:val="none" w:sz="0" w:space="0" w:color="auto"/>
        <w:left w:val="none" w:sz="0" w:space="0" w:color="auto"/>
        <w:bottom w:val="none" w:sz="0" w:space="0" w:color="auto"/>
        <w:right w:val="none" w:sz="0" w:space="0" w:color="auto"/>
      </w:divBdr>
    </w:div>
    <w:div w:id="1538196262">
      <w:bodyDiv w:val="1"/>
      <w:marLeft w:val="0"/>
      <w:marRight w:val="0"/>
      <w:marTop w:val="0"/>
      <w:marBottom w:val="0"/>
      <w:divBdr>
        <w:top w:val="none" w:sz="0" w:space="0" w:color="auto"/>
        <w:left w:val="none" w:sz="0" w:space="0" w:color="auto"/>
        <w:bottom w:val="none" w:sz="0" w:space="0" w:color="auto"/>
        <w:right w:val="none" w:sz="0" w:space="0" w:color="auto"/>
      </w:divBdr>
    </w:div>
    <w:div w:id="1585454308">
      <w:bodyDiv w:val="1"/>
      <w:marLeft w:val="0"/>
      <w:marRight w:val="0"/>
      <w:marTop w:val="0"/>
      <w:marBottom w:val="0"/>
      <w:divBdr>
        <w:top w:val="none" w:sz="0" w:space="0" w:color="auto"/>
        <w:left w:val="none" w:sz="0" w:space="0" w:color="auto"/>
        <w:bottom w:val="none" w:sz="0" w:space="0" w:color="auto"/>
        <w:right w:val="none" w:sz="0" w:space="0" w:color="auto"/>
      </w:divBdr>
    </w:div>
    <w:div w:id="1665283983">
      <w:bodyDiv w:val="1"/>
      <w:marLeft w:val="0"/>
      <w:marRight w:val="0"/>
      <w:marTop w:val="0"/>
      <w:marBottom w:val="0"/>
      <w:divBdr>
        <w:top w:val="none" w:sz="0" w:space="0" w:color="auto"/>
        <w:left w:val="none" w:sz="0" w:space="0" w:color="auto"/>
        <w:bottom w:val="none" w:sz="0" w:space="0" w:color="auto"/>
        <w:right w:val="none" w:sz="0" w:space="0" w:color="auto"/>
      </w:divBdr>
    </w:div>
    <w:div w:id="1770389695">
      <w:bodyDiv w:val="1"/>
      <w:marLeft w:val="0"/>
      <w:marRight w:val="0"/>
      <w:marTop w:val="0"/>
      <w:marBottom w:val="0"/>
      <w:divBdr>
        <w:top w:val="none" w:sz="0" w:space="0" w:color="auto"/>
        <w:left w:val="none" w:sz="0" w:space="0" w:color="auto"/>
        <w:bottom w:val="none" w:sz="0" w:space="0" w:color="auto"/>
        <w:right w:val="none" w:sz="0" w:space="0" w:color="auto"/>
      </w:divBdr>
    </w:div>
    <w:div w:id="1849100402">
      <w:bodyDiv w:val="1"/>
      <w:marLeft w:val="0"/>
      <w:marRight w:val="0"/>
      <w:marTop w:val="0"/>
      <w:marBottom w:val="0"/>
      <w:divBdr>
        <w:top w:val="none" w:sz="0" w:space="0" w:color="auto"/>
        <w:left w:val="none" w:sz="0" w:space="0" w:color="auto"/>
        <w:bottom w:val="none" w:sz="0" w:space="0" w:color="auto"/>
        <w:right w:val="none" w:sz="0" w:space="0" w:color="auto"/>
      </w:divBdr>
    </w:div>
    <w:div w:id="1863124295">
      <w:bodyDiv w:val="1"/>
      <w:marLeft w:val="0"/>
      <w:marRight w:val="0"/>
      <w:marTop w:val="0"/>
      <w:marBottom w:val="0"/>
      <w:divBdr>
        <w:top w:val="none" w:sz="0" w:space="0" w:color="auto"/>
        <w:left w:val="none" w:sz="0" w:space="0" w:color="auto"/>
        <w:bottom w:val="none" w:sz="0" w:space="0" w:color="auto"/>
        <w:right w:val="none" w:sz="0" w:space="0" w:color="auto"/>
      </w:divBdr>
    </w:div>
    <w:div w:id="1954052335">
      <w:bodyDiv w:val="1"/>
      <w:marLeft w:val="0"/>
      <w:marRight w:val="0"/>
      <w:marTop w:val="0"/>
      <w:marBottom w:val="0"/>
      <w:divBdr>
        <w:top w:val="none" w:sz="0" w:space="0" w:color="auto"/>
        <w:left w:val="none" w:sz="0" w:space="0" w:color="auto"/>
        <w:bottom w:val="none" w:sz="0" w:space="0" w:color="auto"/>
        <w:right w:val="none" w:sz="0" w:space="0" w:color="auto"/>
      </w:divBdr>
    </w:div>
    <w:div w:id="2011760809">
      <w:bodyDiv w:val="1"/>
      <w:marLeft w:val="0"/>
      <w:marRight w:val="0"/>
      <w:marTop w:val="0"/>
      <w:marBottom w:val="0"/>
      <w:divBdr>
        <w:top w:val="none" w:sz="0" w:space="0" w:color="auto"/>
        <w:left w:val="none" w:sz="0" w:space="0" w:color="auto"/>
        <w:bottom w:val="none" w:sz="0" w:space="0" w:color="auto"/>
        <w:right w:val="none" w:sz="0" w:space="0" w:color="auto"/>
      </w:divBdr>
    </w:div>
    <w:div w:id="2119644261">
      <w:bodyDiv w:val="1"/>
      <w:marLeft w:val="0"/>
      <w:marRight w:val="0"/>
      <w:marTop w:val="0"/>
      <w:marBottom w:val="0"/>
      <w:divBdr>
        <w:top w:val="none" w:sz="0" w:space="0" w:color="auto"/>
        <w:left w:val="none" w:sz="0" w:space="0" w:color="auto"/>
        <w:bottom w:val="none" w:sz="0" w:space="0" w:color="auto"/>
        <w:right w:val="none" w:sz="0" w:space="0" w:color="auto"/>
      </w:divBdr>
    </w:div>
    <w:div w:id="21459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chart" Target="charts/chart9.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4.xm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a:lstStyle/>
          <a:p>
            <a:pPr>
              <a:defRPr/>
            </a:pPr>
            <a:r>
              <a:rPr lang="es-ES" sz="1400" i="0">
                <a:latin typeface="Tahoma" pitchFamily="34" charset="0"/>
                <a:ea typeface="Tahoma" pitchFamily="34" charset="0"/>
                <a:cs typeface="Tahoma" pitchFamily="34" charset="0"/>
              </a:rPr>
              <a:t>PRESUPUESTO</a:t>
            </a:r>
            <a:r>
              <a:rPr lang="es-ES" sz="1400" i="0" baseline="0">
                <a:latin typeface="Tahoma" pitchFamily="34" charset="0"/>
                <a:ea typeface="Tahoma" pitchFamily="34" charset="0"/>
                <a:cs typeface="Tahoma" pitchFamily="34" charset="0"/>
              </a:rPr>
              <a:t> DE INGRESO</a:t>
            </a:r>
            <a:endParaRPr lang="es-ES" sz="1400" i="0">
              <a:latin typeface="Tahoma" pitchFamily="34" charset="0"/>
              <a:ea typeface="Tahoma" pitchFamily="34" charset="0"/>
              <a:cs typeface="Tahoma" pitchFamily="34" charset="0"/>
            </a:endParaRPr>
          </a:p>
        </c:rich>
      </c:tx>
      <c:layout>
        <c:manualLayout>
          <c:xMode val="edge"/>
          <c:yMode val="edge"/>
          <c:x val="1.304888792015184E-3"/>
          <c:y val="2.9203537644098426E-2"/>
        </c:manualLayout>
      </c:layout>
      <c:overlay val="1"/>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0.18134658107203913"/>
          <c:y val="4.4097935225263819E-2"/>
          <c:w val="0.61443188113596525"/>
          <c:h val="0.61602848939657195"/>
        </c:manualLayout>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#.##0</c:formatCode>
                <c:ptCount val="1"/>
                <c:pt idx="0">
                  <c:v>5617203145</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6287340532</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339287485</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#.##0</c:formatCode>
                <c:ptCount val="1"/>
                <c:pt idx="0">
                  <c:v>11565256192</c:v>
                </c:pt>
              </c:numCache>
            </c:numRef>
          </c:val>
        </c:ser>
        <c:dLbls>
          <c:showLegendKey val="0"/>
          <c:showVal val="0"/>
          <c:showCatName val="0"/>
          <c:showSerName val="0"/>
          <c:showPercent val="0"/>
          <c:showBubbleSize val="0"/>
        </c:dLbls>
        <c:gapWidth val="150"/>
        <c:shape val="pyramid"/>
        <c:axId val="109886080"/>
        <c:axId val="281084288"/>
        <c:axId val="41168896"/>
      </c:bar3DChart>
      <c:catAx>
        <c:axId val="109886080"/>
        <c:scaling>
          <c:orientation val="minMax"/>
        </c:scaling>
        <c:delete val="0"/>
        <c:axPos val="b"/>
        <c:majorTickMark val="out"/>
        <c:minorTickMark val="none"/>
        <c:tickLblPos val="nextTo"/>
        <c:crossAx val="281084288"/>
        <c:crosses val="autoZero"/>
        <c:auto val="1"/>
        <c:lblAlgn val="ctr"/>
        <c:lblOffset val="100"/>
        <c:noMultiLvlLbl val="0"/>
      </c:catAx>
      <c:valAx>
        <c:axId val="281084288"/>
        <c:scaling>
          <c:orientation val="minMax"/>
        </c:scaling>
        <c:delete val="0"/>
        <c:axPos val="l"/>
        <c:majorGridlines/>
        <c:numFmt formatCode="#.##0" sourceLinked="1"/>
        <c:majorTickMark val="out"/>
        <c:minorTickMark val="none"/>
        <c:tickLblPos val="nextTo"/>
        <c:crossAx val="109886080"/>
        <c:crosses val="autoZero"/>
        <c:crossBetween val="between"/>
      </c:valAx>
      <c:serAx>
        <c:axId val="41168896"/>
        <c:scaling>
          <c:orientation val="minMax"/>
        </c:scaling>
        <c:delete val="0"/>
        <c:axPos val="b"/>
        <c:majorTickMark val="out"/>
        <c:minorTickMark val="none"/>
        <c:tickLblPos val="nextTo"/>
        <c:crossAx val="281084288"/>
        <c:crosses val="autoZero"/>
      </c:serAx>
      <c:dTable>
        <c:showHorzBorder val="1"/>
        <c:showVertBorder val="1"/>
        <c:showOutline val="1"/>
        <c:showKeys val="1"/>
      </c:dTable>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10"/>
    </mc:Choice>
    <mc:Fallback>
      <c:style val="10"/>
    </mc:Fallback>
  </mc:AlternateContent>
  <c:chart>
    <c:title>
      <c:overlay val="0"/>
    </c:title>
    <c:autoTitleDeleted val="0"/>
    <c:view3D>
      <c:rotX val="75"/>
      <c:rotY val="0"/>
      <c:rAngAx val="1"/>
    </c:view3D>
    <c:floor>
      <c:thickness val="0"/>
    </c:floor>
    <c:sideWall>
      <c:thickness val="0"/>
    </c:sideWall>
    <c:backWall>
      <c:thickness val="0"/>
    </c:backWall>
    <c:plotArea>
      <c:layout/>
      <c:pie3DChart>
        <c:varyColors val="1"/>
        <c:ser>
          <c:idx val="0"/>
          <c:order val="0"/>
          <c:tx>
            <c:strRef>
              <c:f>Hoja1!$B$1</c:f>
              <c:strCache>
                <c:ptCount val="1"/>
                <c:pt idx="0">
                  <c:v>PRESUPUESTO INICIAL</c:v>
                </c:pt>
              </c:strCache>
            </c:strRef>
          </c:tx>
          <c:explosion val="28"/>
          <c:dPt>
            <c:idx val="1"/>
            <c:bubble3D val="0"/>
            <c:spPr>
              <a:solidFill>
                <a:srgbClr val="7030A0"/>
              </a:solidFill>
            </c:spPr>
          </c:dPt>
          <c:dPt>
            <c:idx val="2"/>
            <c:bubble3D val="0"/>
            <c:spPr>
              <a:solidFill>
                <a:schemeClr val="accent4">
                  <a:lumMod val="60000"/>
                  <a:lumOff val="40000"/>
                </a:schemeClr>
              </a:solidFill>
            </c:spPr>
          </c:dPt>
          <c:dPt>
            <c:idx val="3"/>
            <c:bubble3D val="0"/>
            <c:spPr>
              <a:solidFill>
                <a:srgbClr val="92D050"/>
              </a:solidFill>
            </c:spPr>
          </c:dPt>
          <c:dPt>
            <c:idx val="4"/>
            <c:bubble3D val="0"/>
            <c:spPr>
              <a:solidFill>
                <a:srgbClr val="FF0000"/>
              </a:solidFill>
            </c:spPr>
          </c:dPt>
          <c:dLbls>
            <c:dLbl>
              <c:idx val="0"/>
              <c:tx>
                <c:rich>
                  <a:bodyPr/>
                  <a:lstStyle/>
                  <a:p>
                    <a:r>
                      <a:rPr lang="en-US"/>
                      <a:t>12,67%</a:t>
                    </a:r>
                  </a:p>
                </c:rich>
              </c:tx>
              <c:showLegendKey val="0"/>
              <c:showVal val="0"/>
              <c:showCatName val="0"/>
              <c:showSerName val="0"/>
              <c:showPercent val="1"/>
              <c:showBubbleSize val="0"/>
            </c:dLbl>
            <c:dLbl>
              <c:idx val="1"/>
              <c:tx>
                <c:rich>
                  <a:bodyPr/>
                  <a:lstStyle/>
                  <a:p>
                    <a:r>
                      <a:rPr lang="en-US"/>
                      <a:t>0,87%</a:t>
                    </a:r>
                  </a:p>
                </c:rich>
              </c:tx>
              <c:showLegendKey val="0"/>
              <c:showVal val="0"/>
              <c:showCatName val="0"/>
              <c:showSerName val="0"/>
              <c:showPercent val="1"/>
              <c:showBubbleSize val="0"/>
            </c:dLbl>
            <c:dLbl>
              <c:idx val="2"/>
              <c:tx>
                <c:rich>
                  <a:bodyPr/>
                  <a:lstStyle/>
                  <a:p>
                    <a:r>
                      <a:rPr lang="en-US"/>
                      <a:t>53,79%</a:t>
                    </a:r>
                  </a:p>
                </c:rich>
              </c:tx>
              <c:showLegendKey val="0"/>
              <c:showVal val="0"/>
              <c:showCatName val="0"/>
              <c:showSerName val="0"/>
              <c:showPercent val="1"/>
              <c:showBubbleSize val="0"/>
            </c:dLbl>
            <c:dLbl>
              <c:idx val="3"/>
              <c:tx>
                <c:rich>
                  <a:bodyPr/>
                  <a:lstStyle/>
                  <a:p>
                    <a:r>
                      <a:rPr lang="en-US"/>
                      <a:t>5,54%</a:t>
                    </a:r>
                  </a:p>
                </c:rich>
              </c:tx>
              <c:showLegendKey val="0"/>
              <c:showVal val="0"/>
              <c:showCatName val="0"/>
              <c:showSerName val="0"/>
              <c:showPercent val="1"/>
              <c:showBubbleSize val="0"/>
            </c:dLbl>
            <c:dLbl>
              <c:idx val="4"/>
              <c:tx>
                <c:rich>
                  <a:bodyPr/>
                  <a:lstStyle/>
                  <a:p>
                    <a:r>
                      <a:rPr lang="en-US"/>
                      <a:t>0,09%</a:t>
                    </a:r>
                  </a:p>
                </c:rich>
              </c:tx>
              <c:showLegendKey val="0"/>
              <c:showVal val="0"/>
              <c:showCatName val="0"/>
              <c:showSerName val="0"/>
              <c:showPercent val="1"/>
              <c:showBubbleSize val="0"/>
            </c:dLbl>
            <c:dLbl>
              <c:idx val="5"/>
              <c:tx>
                <c:rich>
                  <a:bodyPr/>
                  <a:lstStyle/>
                  <a:p>
                    <a:r>
                      <a:rPr lang="en-US"/>
                      <a:t>26,10%</a:t>
                    </a:r>
                  </a:p>
                </c:rich>
              </c:tx>
              <c:showLegendKey val="0"/>
              <c:showVal val="0"/>
              <c:showCatName val="0"/>
              <c:showSerName val="0"/>
              <c:showPercent val="1"/>
              <c:showBubbleSize val="0"/>
            </c:dLbl>
            <c:dLbl>
              <c:idx val="6"/>
              <c:layout>
                <c:manualLayout>
                  <c:x val="-3.5146453047535726E-2"/>
                  <c:y val="2.5259655043119611E-2"/>
                </c:manualLayout>
              </c:layout>
              <c:tx>
                <c:rich>
                  <a:bodyPr/>
                  <a:lstStyle/>
                  <a:p>
                    <a:r>
                      <a:rPr lang="en-US"/>
                      <a:t>0,33%</a:t>
                    </a:r>
                  </a:p>
                </c:rich>
              </c:tx>
              <c:showLegendKey val="0"/>
              <c:showVal val="0"/>
              <c:showCatName val="0"/>
              <c:showSerName val="0"/>
              <c:showPercent val="1"/>
              <c:showBubbleSize val="0"/>
            </c:dLbl>
            <c:dLbl>
              <c:idx val="7"/>
              <c:layout>
                <c:manualLayout>
                  <c:x val="2.8281842373869933E-2"/>
                  <c:y val="1.7323147106611675E-2"/>
                </c:manualLayout>
              </c:layout>
              <c:tx>
                <c:rich>
                  <a:bodyPr/>
                  <a:lstStyle/>
                  <a:p>
                    <a:r>
                      <a:rPr lang="en-US"/>
                      <a:t>0,61%</a:t>
                    </a:r>
                  </a:p>
                </c:rich>
              </c:tx>
              <c:showLegendKey val="0"/>
              <c:showVal val="0"/>
              <c:showCatName val="0"/>
              <c:showSerName val="0"/>
              <c:showPercent val="1"/>
              <c:showBubbleSize val="0"/>
            </c:dLbl>
            <c:showLegendKey val="0"/>
            <c:showVal val="0"/>
            <c:showCatName val="0"/>
            <c:showSerName val="0"/>
            <c:showPercent val="1"/>
            <c:showBubbleSize val="0"/>
            <c:showLeaderLines val="0"/>
          </c:dLbls>
          <c:cat>
            <c:strRef>
              <c:f>Hoja1!$A$2:$A$9</c:f>
              <c:strCache>
                <c:ptCount val="8"/>
                <c:pt idx="0">
                  <c:v>Ing. Tributarios     12,67%</c:v>
                </c:pt>
                <c:pt idx="1">
                  <c:v>Ing. No Tributarios   0,87%</c:v>
                </c:pt>
                <c:pt idx="2">
                  <c:v>Sistema General de Participaciones  53,79%</c:v>
                </c:pt>
                <c:pt idx="3">
                  <c:v>Ingresos de Capital    5,54%</c:v>
                </c:pt>
                <c:pt idx="4">
                  <c:v>Recursos de Capital 0,09%</c:v>
                </c:pt>
                <c:pt idx="5">
                  <c:v>Fosyga 26,10%</c:v>
                </c:pt>
                <c:pt idx="6">
                  <c:v>Coljuegos  0,33%</c:v>
                </c:pt>
                <c:pt idx="7">
                  <c:v>Otras Transferencias 0,61</c:v>
                </c:pt>
              </c:strCache>
            </c:strRef>
          </c:cat>
          <c:val>
            <c:numRef>
              <c:f>Hoja1!$B$2:$B$9</c:f>
              <c:numCache>
                <c:formatCode>_(* #.##0_);_(* \(#.##0\);_(* "-"??_);_(@_)</c:formatCode>
                <c:ptCount val="8"/>
                <c:pt idx="0">
                  <c:v>711</c:v>
                </c:pt>
                <c:pt idx="1">
                  <c:v>48</c:v>
                </c:pt>
                <c:pt idx="2">
                  <c:v>3021</c:v>
                </c:pt>
                <c:pt idx="3">
                  <c:v>311</c:v>
                </c:pt>
                <c:pt idx="4">
                  <c:v>5</c:v>
                </c:pt>
                <c:pt idx="5">
                  <c:v>1466</c:v>
                </c:pt>
                <c:pt idx="6">
                  <c:v>18</c:v>
                </c:pt>
                <c:pt idx="7">
                  <c:v>34</c:v>
                </c:pt>
              </c:numCache>
            </c:numRef>
          </c:val>
        </c:ser>
        <c:dLbls>
          <c:showLegendKey val="0"/>
          <c:showVal val="0"/>
          <c:showCatName val="0"/>
          <c:showSerName val="0"/>
          <c:showPercent val="1"/>
          <c:showBubbleSize val="0"/>
          <c:showLeaderLines val="0"/>
        </c:dLbls>
      </c:pie3DChart>
    </c:plotArea>
    <c:legend>
      <c:legendPos val="r"/>
      <c:layout>
        <c:manualLayout>
          <c:xMode val="edge"/>
          <c:yMode val="edge"/>
          <c:x val="0.68803258967629044"/>
          <c:y val="0.1267800899887514"/>
          <c:w val="0.29807852143482066"/>
          <c:h val="0.82967410323709534"/>
        </c:manualLayout>
      </c:layout>
      <c:overlay val="0"/>
    </c:legend>
    <c:plotVisOnly val="1"/>
    <c:dispBlanksAs val="gap"/>
    <c:showDLblsOverMax val="0"/>
  </c:chart>
  <c:spPr>
    <a:solidFill>
      <a:schemeClr val="bg1"/>
    </a:soli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38"/>
    </mc:Choice>
    <mc:Fallback>
      <c:style val="38"/>
    </mc:Fallback>
  </mc:AlternateContent>
  <c:chart>
    <c:title>
      <c:tx>
        <c:rich>
          <a:bodyPr/>
          <a:lstStyle/>
          <a:p>
            <a:pPr>
              <a:defRPr/>
            </a:pPr>
            <a:r>
              <a:rPr lang="en-US">
                <a:latin typeface="+mj-lt"/>
              </a:rPr>
              <a:t>INGRESOS</a:t>
            </a:r>
            <a:r>
              <a:rPr lang="en-US" baseline="0">
                <a:latin typeface="+mj-lt"/>
              </a:rPr>
              <a:t> TRIBUTARIOS</a:t>
            </a:r>
            <a:endParaRPr lang="en-US">
              <a:latin typeface="+mj-lt"/>
            </a:endParaRPr>
          </a:p>
        </c:rich>
      </c:tx>
      <c:layout>
        <c:manualLayout>
          <c:xMode val="edge"/>
          <c:yMode val="edge"/>
          <c:x val="0.27075842468116612"/>
          <c:y val="5.4796501588617222E-2"/>
        </c:manualLayout>
      </c:layout>
      <c:overlay val="0"/>
    </c:title>
    <c:autoTitleDeleted val="0"/>
    <c:plotArea>
      <c:layout/>
      <c:barChart>
        <c:barDir val="col"/>
        <c:grouping val="clustered"/>
        <c:varyColors val="0"/>
        <c:ser>
          <c:idx val="0"/>
          <c:order val="0"/>
          <c:tx>
            <c:strRef>
              <c:f>Hoja1!$B$1</c:f>
              <c:strCache>
                <c:ptCount val="1"/>
                <c:pt idx="0">
                  <c:v>Serie 1</c:v>
                </c:pt>
              </c:strCache>
            </c:strRef>
          </c:tx>
          <c:invertIfNegative val="0"/>
          <c:cat>
            <c:strRef>
              <c:f>Hoja1!$A$2:$A$3</c:f>
              <c:strCache>
                <c:ptCount val="2"/>
                <c:pt idx="0">
                  <c:v>Ingresos Tributarios</c:v>
                </c:pt>
                <c:pt idx="1">
                  <c:v>Ingresos No Tributarios</c:v>
                </c:pt>
              </c:strCache>
            </c:strRef>
          </c:cat>
          <c:val>
            <c:numRef>
              <c:f>Hoja1!$B$2:$B$3</c:f>
              <c:numCache>
                <c:formatCode>General</c:formatCode>
                <c:ptCount val="2"/>
                <c:pt idx="0">
                  <c:v>1633</c:v>
                </c:pt>
                <c:pt idx="1">
                  <c:v>54</c:v>
                </c:pt>
              </c:numCache>
            </c:numRef>
          </c:val>
        </c:ser>
        <c:dLbls>
          <c:showLegendKey val="0"/>
          <c:showVal val="0"/>
          <c:showCatName val="0"/>
          <c:showSerName val="0"/>
          <c:showPercent val="0"/>
          <c:showBubbleSize val="0"/>
        </c:dLbls>
        <c:gapWidth val="150"/>
        <c:axId val="76241536"/>
        <c:axId val="289698176"/>
      </c:barChart>
      <c:catAx>
        <c:axId val="76241536"/>
        <c:scaling>
          <c:orientation val="minMax"/>
        </c:scaling>
        <c:delete val="0"/>
        <c:axPos val="b"/>
        <c:majorTickMark val="none"/>
        <c:minorTickMark val="none"/>
        <c:tickLblPos val="nextTo"/>
        <c:crossAx val="289698176"/>
        <c:crosses val="autoZero"/>
        <c:auto val="1"/>
        <c:lblAlgn val="ctr"/>
        <c:lblOffset val="100"/>
        <c:noMultiLvlLbl val="0"/>
      </c:catAx>
      <c:valAx>
        <c:axId val="289698176"/>
        <c:scaling>
          <c:orientation val="minMax"/>
        </c:scaling>
        <c:delete val="0"/>
        <c:axPos val="l"/>
        <c:majorGridlines/>
        <c:numFmt formatCode="General" sourceLinked="1"/>
        <c:majorTickMark val="none"/>
        <c:minorTickMark val="none"/>
        <c:tickLblPos val="nextTo"/>
        <c:crossAx val="76241536"/>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SISTEMA</a:t>
            </a:r>
            <a:r>
              <a:rPr lang="es-CO" baseline="0"/>
              <a:t> GENERAL DE PARTICIPACIONES</a:t>
            </a:r>
            <a:endParaRPr lang="es-CO"/>
          </a:p>
        </c:rich>
      </c:tx>
      <c:overlay val="0"/>
    </c:title>
    <c:autoTitleDeleted val="0"/>
    <c:plotArea>
      <c:layout/>
      <c:pieChart>
        <c:varyColors val="1"/>
        <c:ser>
          <c:idx val="0"/>
          <c:order val="0"/>
          <c:tx>
            <c:strRef>
              <c:f>Hoja1!$B$1</c:f>
              <c:strCache>
                <c:ptCount val="1"/>
                <c:pt idx="0">
                  <c:v>Ventas</c:v>
                </c:pt>
              </c:strCache>
            </c:strRef>
          </c:tx>
          <c:explosion val="28"/>
          <c:dLbls>
            <c:dLbl>
              <c:idx val="0"/>
              <c:tx>
                <c:rich>
                  <a:bodyPr/>
                  <a:lstStyle/>
                  <a:p>
                    <a:r>
                      <a:rPr lang="en-US"/>
                      <a:t>31%
</a:t>
                    </a:r>
                  </a:p>
                </c:rich>
              </c:tx>
              <c:showLegendKey val="0"/>
              <c:showVal val="0"/>
              <c:showCatName val="0"/>
              <c:showSerName val="0"/>
              <c:showPercent val="1"/>
              <c:showBubbleSize val="0"/>
            </c:dLbl>
            <c:dLbl>
              <c:idx val="1"/>
              <c:layout>
                <c:manualLayout>
                  <c:x val="-4.1815444771452041E-2"/>
                  <c:y val="-7.1735377677203158E-2"/>
                </c:manualLayout>
              </c:layout>
              <c:tx>
                <c:rich>
                  <a:bodyPr/>
                  <a:lstStyle/>
                  <a:p>
                    <a:r>
                      <a:rPr lang="en-US"/>
                      <a:t>9%
</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Hoja1!$A$2:$A$8</c:f>
              <c:strCache>
                <c:ptCount val="7"/>
                <c:pt idx="0">
                  <c:v>FONDO LOCAL DE SALUD</c:v>
                </c:pt>
                <c:pt idx="1">
                  <c:v>EDUCACION</c:v>
                </c:pt>
                <c:pt idx="2">
                  <c:v>PROPOSITO GENERAL LIBRE INVERSION</c:v>
                </c:pt>
                <c:pt idx="3">
                  <c:v>FORZOSA INVERSION</c:v>
                </c:pt>
                <c:pt idx="4">
                  <c:v>ALIMENTACION ESCOLAR</c:v>
                </c:pt>
                <c:pt idx="5">
                  <c:v>AGUA POTABLE Y SANEAMIENTO BASICO</c:v>
                </c:pt>
                <c:pt idx="6">
                  <c:v>PRIMERA INFANCIA </c:v>
                </c:pt>
              </c:strCache>
            </c:strRef>
          </c:cat>
          <c:val>
            <c:numRef>
              <c:f>Hoja1!$B$2:$B$8</c:f>
              <c:numCache>
                <c:formatCode>#.##0</c:formatCode>
                <c:ptCount val="7"/>
                <c:pt idx="0">
                  <c:v>1081</c:v>
                </c:pt>
                <c:pt idx="1">
                  <c:v>341</c:v>
                </c:pt>
                <c:pt idx="2">
                  <c:v>717</c:v>
                </c:pt>
                <c:pt idx="3">
                  <c:v>998</c:v>
                </c:pt>
                <c:pt idx="4">
                  <c:v>24</c:v>
                </c:pt>
                <c:pt idx="5">
                  <c:v>352</c:v>
                </c:pt>
                <c:pt idx="6">
                  <c:v>21</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743484921083942"/>
          <c:y val="0.13704284344696435"/>
          <c:w val="0.31202900484897012"/>
          <c:h val="0.86295703380880451"/>
        </c:manualLayout>
      </c:layout>
      <c:overlay val="0"/>
    </c:legend>
    <c:plotVisOnly val="1"/>
    <c:dispBlanksAs val="gap"/>
    <c:showDLblsOverMax val="0"/>
  </c:chart>
  <c:spPr>
    <a:pattFill prst="pct25">
      <a:fgClr>
        <a:schemeClr val="bg2">
          <a:lumMod val="90000"/>
        </a:schemeClr>
      </a:fgClr>
      <a:bgClr>
        <a:schemeClr val="bg1"/>
      </a:bgClr>
    </a:patt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27"/>
    </mc:Choice>
    <mc:Fallback>
      <c:style val="27"/>
    </mc:Fallback>
  </mc:AlternateContent>
  <c:chart>
    <c:autoTitleDeleted val="1"/>
    <c:plotArea>
      <c:layout>
        <c:manualLayout>
          <c:layoutTarget val="inner"/>
          <c:xMode val="edge"/>
          <c:yMode val="edge"/>
          <c:x val="0.1738910761154856"/>
          <c:y val="3.971430927155048E-2"/>
          <c:w val="0.79138670166229219"/>
          <c:h val="0.84257193512629858"/>
        </c:manualLayout>
      </c:layout>
      <c:barChart>
        <c:barDir val="col"/>
        <c:grouping val="clustered"/>
        <c:varyColors val="0"/>
        <c:ser>
          <c:idx val="0"/>
          <c:order val="0"/>
          <c:tx>
            <c:strRef>
              <c:f>Hoja1!$B$1</c:f>
              <c:strCache>
                <c:ptCount val="1"/>
                <c:pt idx="0">
                  <c:v>Serie 1</c:v>
                </c:pt>
              </c:strCache>
            </c:strRef>
          </c:tx>
          <c:invertIfNegative val="0"/>
          <c:dPt>
            <c:idx val="1"/>
            <c:invertIfNegative val="0"/>
            <c:bubble3D val="0"/>
            <c:spPr>
              <a:solidFill>
                <a:schemeClr val="accent2"/>
              </a:solidFill>
            </c:spPr>
          </c:dPt>
          <c:dPt>
            <c:idx val="2"/>
            <c:invertIfNegative val="0"/>
            <c:bubble3D val="0"/>
            <c:spPr>
              <a:solidFill>
                <a:srgbClr val="00B050"/>
              </a:solidFill>
            </c:spPr>
          </c:dPt>
          <c:dPt>
            <c:idx val="3"/>
            <c:invertIfNegative val="0"/>
            <c:bubble3D val="0"/>
            <c:spPr>
              <a:solidFill>
                <a:srgbClr val="FF0000"/>
              </a:solidFill>
            </c:spPr>
          </c:dPt>
          <c:cat>
            <c:strRef>
              <c:f>Hoja1!$A$2:$A$5</c:f>
              <c:strCache>
                <c:ptCount val="4"/>
                <c:pt idx="0">
                  <c:v>Ppto Inicial</c:v>
                </c:pt>
                <c:pt idx="1">
                  <c:v>Ppto Definitivo</c:v>
                </c:pt>
                <c:pt idx="2">
                  <c:v>Total Recaudado</c:v>
                </c:pt>
                <c:pt idx="3">
                  <c:v>Por Recaudar</c:v>
                </c:pt>
              </c:strCache>
            </c:strRef>
          </c:cat>
          <c:val>
            <c:numRef>
              <c:f>Hoja1!$B$2:$B$5</c:f>
              <c:numCache>
                <c:formatCode>#.##0</c:formatCode>
                <c:ptCount val="4"/>
                <c:pt idx="0">
                  <c:v>5617203145</c:v>
                </c:pt>
                <c:pt idx="1">
                  <c:v>11565256192</c:v>
                </c:pt>
                <c:pt idx="2">
                  <c:v>8922895223</c:v>
                </c:pt>
                <c:pt idx="3">
                  <c:v>2642360969</c:v>
                </c:pt>
              </c:numCache>
            </c:numRef>
          </c:val>
        </c:ser>
        <c:dLbls>
          <c:showLegendKey val="0"/>
          <c:showVal val="0"/>
          <c:showCatName val="0"/>
          <c:showSerName val="0"/>
          <c:showPercent val="0"/>
          <c:showBubbleSize val="0"/>
        </c:dLbls>
        <c:gapWidth val="150"/>
        <c:axId val="289714176"/>
        <c:axId val="289715712"/>
      </c:barChart>
      <c:catAx>
        <c:axId val="289714176"/>
        <c:scaling>
          <c:orientation val="minMax"/>
        </c:scaling>
        <c:delete val="0"/>
        <c:axPos val="b"/>
        <c:majorTickMark val="out"/>
        <c:minorTickMark val="none"/>
        <c:tickLblPos val="nextTo"/>
        <c:crossAx val="289715712"/>
        <c:crosses val="autoZero"/>
        <c:auto val="1"/>
        <c:lblAlgn val="ctr"/>
        <c:lblOffset val="100"/>
        <c:noMultiLvlLbl val="0"/>
      </c:catAx>
      <c:valAx>
        <c:axId val="289715712"/>
        <c:scaling>
          <c:orientation val="minMax"/>
        </c:scaling>
        <c:delete val="0"/>
        <c:axPos val="l"/>
        <c:majorGridlines/>
        <c:numFmt formatCode="#.##0" sourceLinked="1"/>
        <c:majorTickMark val="out"/>
        <c:minorTickMark val="none"/>
        <c:tickLblPos val="nextTo"/>
        <c:crossAx val="289714176"/>
        <c:crosses val="autoZero"/>
        <c:crossBetween val="between"/>
      </c:valAx>
    </c:plotArea>
    <c:plotVisOnly val="1"/>
    <c:dispBlanksAs val="zero"/>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i="0">
                <a:latin typeface="Baskerville Old Face" pitchFamily="18" charset="0"/>
              </a:rPr>
              <a:t>PRESUPUESTO INICIAL</a:t>
            </a:r>
          </a:p>
        </c:rich>
      </c:tx>
      <c:overlay val="0"/>
    </c:title>
    <c:autoTitleDeleted val="0"/>
    <c:plotArea>
      <c:layout/>
      <c:pieChart>
        <c:varyColors val="1"/>
        <c:ser>
          <c:idx val="0"/>
          <c:order val="0"/>
          <c:tx>
            <c:strRef>
              <c:f>Hoja1!$B$1</c:f>
              <c:strCache>
                <c:ptCount val="1"/>
                <c:pt idx="0">
                  <c:v>PRESUPUESTO INICIAL</c:v>
                </c:pt>
              </c:strCache>
            </c:strRef>
          </c:tx>
          <c:explosion val="6"/>
          <c:dPt>
            <c:idx val="1"/>
            <c:bubble3D val="0"/>
            <c:explosion val="41"/>
            <c:spPr>
              <a:solidFill>
                <a:srgbClr val="FFFF00"/>
              </a:solidFill>
            </c:spPr>
          </c:dPt>
          <c:dPt>
            <c:idx val="2"/>
            <c:bubble3D val="0"/>
            <c:spPr>
              <a:solidFill>
                <a:srgbClr val="FF0000"/>
              </a:solidFill>
            </c:spPr>
          </c:dPt>
          <c:dLbls>
            <c:dLbl>
              <c:idx val="0"/>
              <c:tx>
                <c:rich>
                  <a:bodyPr/>
                  <a:lstStyle/>
                  <a:p>
                    <a:r>
                      <a:rPr lang="en-US"/>
                      <a:t>18.01%</a:t>
                    </a:r>
                  </a:p>
                </c:rich>
              </c:tx>
              <c:showLegendKey val="0"/>
              <c:showVal val="0"/>
              <c:showCatName val="0"/>
              <c:showSerName val="0"/>
              <c:showPercent val="1"/>
              <c:showBubbleSize val="0"/>
            </c:dLbl>
            <c:dLbl>
              <c:idx val="1"/>
              <c:layout>
                <c:manualLayout>
                  <c:x val="0.10421751968503937"/>
                  <c:y val="-0.22068168154937445"/>
                </c:manualLayout>
              </c:layout>
              <c:tx>
                <c:rich>
                  <a:bodyPr/>
                  <a:lstStyle/>
                  <a:p>
                    <a:r>
                      <a:rPr lang="en-US"/>
                      <a:t>81.99%</a:t>
                    </a:r>
                  </a:p>
                </c:rich>
              </c:tx>
              <c:showLegendKey val="0"/>
              <c:showVal val="0"/>
              <c:showCatName val="0"/>
              <c:showSerName val="0"/>
              <c:showPercent val="1"/>
              <c:showBubbleSize val="0"/>
            </c:dLbl>
            <c:dLbl>
              <c:idx val="2"/>
              <c:tx>
                <c:rich>
                  <a:bodyPr/>
                  <a:lstStyle/>
                  <a:p>
                    <a:r>
                      <a:rPr lang="en-US"/>
                      <a:t>86.85%</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Hoja1!$A$2:$A$3</c:f>
              <c:strCache>
                <c:ptCount val="2"/>
                <c:pt idx="0">
                  <c:v>Funcionamiento  18.01%</c:v>
                </c:pt>
                <c:pt idx="1">
                  <c:v>Inversión    81.99%</c:v>
                </c:pt>
              </c:strCache>
            </c:strRef>
          </c:cat>
          <c:val>
            <c:numRef>
              <c:f>Hoja1!$B$2:$B$3</c:f>
              <c:numCache>
                <c:formatCode>General</c:formatCode>
                <c:ptCount val="2"/>
                <c:pt idx="0">
                  <c:v>1011</c:v>
                </c:pt>
                <c:pt idx="1">
                  <c:v>4579</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gradFill>
      <a:gsLst>
        <a:gs pos="0">
          <a:srgbClr val="FFEFD1"/>
        </a:gs>
        <a:gs pos="64999">
          <a:srgbClr val="F0EBD5"/>
        </a:gs>
        <a:gs pos="100000">
          <a:srgbClr val="D1C39F"/>
        </a:gs>
      </a:gsLst>
      <a:lin ang="5400000" scaled="0"/>
    </a:gra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atin typeface="Baskerville Old Face" pitchFamily="18" charset="0"/>
              </a:rPr>
              <a:t>GASTOS DE FUNCIONAMIENTO</a:t>
            </a:r>
          </a:p>
        </c:rich>
      </c:tx>
      <c:overlay val="0"/>
    </c:title>
    <c:autoTitleDeleted val="0"/>
    <c:plotArea>
      <c:layout/>
      <c:pieChart>
        <c:varyColors val="1"/>
        <c:ser>
          <c:idx val="0"/>
          <c:order val="0"/>
          <c:tx>
            <c:strRef>
              <c:f>Hoja1!$B$1</c:f>
              <c:strCache>
                <c:ptCount val="1"/>
                <c:pt idx="0">
                  <c:v>Columna1</c:v>
                </c:pt>
              </c:strCache>
            </c:strRef>
          </c:tx>
          <c:dLbls>
            <c:dLbl>
              <c:idx val="0"/>
              <c:tx>
                <c:rich>
                  <a:bodyPr/>
                  <a:lstStyle/>
                  <a:p>
                    <a:r>
                      <a:rPr lang="en-US"/>
                      <a:t>10.13%</a:t>
                    </a:r>
                  </a:p>
                </c:rich>
              </c:tx>
              <c:showLegendKey val="0"/>
              <c:showVal val="0"/>
              <c:showCatName val="0"/>
              <c:showSerName val="0"/>
              <c:showPercent val="1"/>
              <c:showBubbleSize val="0"/>
            </c:dLbl>
            <c:dLbl>
              <c:idx val="1"/>
              <c:tx>
                <c:rich>
                  <a:bodyPr/>
                  <a:lstStyle/>
                  <a:p>
                    <a:r>
                      <a:rPr lang="en-US"/>
                      <a:t>2.19%</a:t>
                    </a:r>
                  </a:p>
                </c:rich>
              </c:tx>
              <c:showLegendKey val="0"/>
              <c:showVal val="0"/>
              <c:showCatName val="0"/>
              <c:showSerName val="0"/>
              <c:showPercent val="1"/>
              <c:showBubbleSize val="0"/>
            </c:dLbl>
            <c:dLbl>
              <c:idx val="2"/>
              <c:layout>
                <c:manualLayout>
                  <c:x val="7.9695428696412954E-2"/>
                  <c:y val="0.13386740071302544"/>
                </c:manualLayout>
              </c:layout>
              <c:tx>
                <c:rich>
                  <a:bodyPr/>
                  <a:lstStyle/>
                  <a:p>
                    <a:r>
                      <a:rPr lang="en-US"/>
                      <a:t>2.1%</a:t>
                    </a:r>
                  </a:p>
                </c:rich>
              </c:tx>
              <c:showLegendKey val="0"/>
              <c:showVal val="0"/>
              <c:showCatName val="0"/>
              <c:showSerName val="0"/>
              <c:showPercent val="1"/>
              <c:showBubbleSize val="0"/>
            </c:dLbl>
            <c:dLbl>
              <c:idx val="3"/>
              <c:tx>
                <c:rich>
                  <a:bodyPr/>
                  <a:lstStyle/>
                  <a:p>
                    <a:r>
                      <a:rPr lang="en-US"/>
                      <a:t>5.6%</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Hoja1!$A$2:$A$4</c:f>
              <c:strCache>
                <c:ptCount val="3"/>
                <c:pt idx="0">
                  <c:v>Servicios Personales  10.13%</c:v>
                </c:pt>
                <c:pt idx="1">
                  <c:v>Gastos Generales  2.19%</c:v>
                </c:pt>
                <c:pt idx="2">
                  <c:v>Transferencias   2.1%</c:v>
                </c:pt>
              </c:strCache>
            </c:strRef>
          </c:cat>
          <c:val>
            <c:numRef>
              <c:f>Hoja1!$B$2:$B$4</c:f>
              <c:numCache>
                <c:formatCode>General</c:formatCode>
                <c:ptCount val="3"/>
                <c:pt idx="0">
                  <c:v>568</c:v>
                </c:pt>
                <c:pt idx="1">
                  <c:v>122</c:v>
                </c:pt>
                <c:pt idx="2">
                  <c:v>117</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spPr>
    <a:pattFill prst="pct5">
      <a:fgClr>
        <a:schemeClr val="accent1"/>
      </a:fgClr>
      <a:bgClr>
        <a:schemeClr val="bg1"/>
      </a:bgClr>
    </a:pattFill>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atin typeface="Baskerville Old Face" pitchFamily="18" charset="0"/>
              </a:rPr>
              <a:t>GASTOS DE INVERSION</a:t>
            </a:r>
          </a:p>
        </c:rich>
      </c:tx>
      <c:layout>
        <c:manualLayout>
          <c:xMode val="edge"/>
          <c:yMode val="edge"/>
          <c:x val="0.51079399496455247"/>
          <c:y val="4.4600413806212942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Hoja1!$B$1</c:f>
              <c:strCache>
                <c:ptCount val="1"/>
                <c:pt idx="0">
                  <c:v>Ventas</c:v>
                </c:pt>
              </c:strCache>
            </c:strRef>
          </c:tx>
          <c:explosion val="21"/>
          <c:dLbls>
            <c:dLbl>
              <c:idx val="0"/>
              <c:layout>
                <c:manualLayout>
                  <c:x val="-0.21302657480314952"/>
                  <c:y val="-0.24521186979215906"/>
                </c:manualLayout>
              </c:layout>
              <c:tx>
                <c:rich>
                  <a:bodyPr/>
                  <a:lstStyle/>
                  <a:p>
                    <a:r>
                      <a:rPr lang="en-US"/>
                      <a:t>Sector Salud</a:t>
                    </a:r>
                  </a:p>
                </c:rich>
              </c:tx>
              <c:showLegendKey val="0"/>
              <c:showVal val="1"/>
              <c:showCatName val="1"/>
              <c:showSerName val="0"/>
              <c:showPercent val="0"/>
              <c:showBubbleSize val="0"/>
            </c:dLbl>
            <c:dLbl>
              <c:idx val="1"/>
              <c:layout>
                <c:manualLayout>
                  <c:x val="9.5670946967566194E-3"/>
                  <c:y val="0.10159662278288258"/>
                </c:manualLayout>
              </c:layout>
              <c:tx>
                <c:rich>
                  <a:bodyPr/>
                  <a:lstStyle/>
                  <a:p>
                    <a:r>
                      <a:rPr lang="en-US"/>
                      <a:t>Gobierno</a:t>
                    </a:r>
                  </a:p>
                </c:rich>
              </c:tx>
              <c:showLegendKey val="0"/>
              <c:showVal val="1"/>
              <c:showCatName val="1"/>
              <c:showSerName val="0"/>
              <c:showPercent val="0"/>
              <c:showBubbleSize val="0"/>
            </c:dLbl>
            <c:dLbl>
              <c:idx val="2"/>
              <c:layout>
                <c:manualLayout>
                  <c:x val="2.3813541842455606E-2"/>
                  <c:y val="-0.10544008439534118"/>
                </c:manualLayout>
              </c:layout>
              <c:tx>
                <c:rich>
                  <a:bodyPr/>
                  <a:lstStyle/>
                  <a:p>
                    <a:r>
                      <a:rPr lang="en-US"/>
                      <a:t>Saneamiento básico</a:t>
                    </a:r>
                  </a:p>
                </c:rich>
              </c:tx>
              <c:showLegendKey val="0"/>
              <c:showVal val="1"/>
              <c:showCatName val="1"/>
              <c:showSerName val="0"/>
              <c:showPercent val="0"/>
              <c:showBubbleSize val="0"/>
            </c:dLbl>
            <c:dLbl>
              <c:idx val="3"/>
              <c:layout>
                <c:manualLayout>
                  <c:x val="-3.896761392401827E-2"/>
                  <c:y val="-8.8184710712629535E-3"/>
                </c:manualLayout>
              </c:layout>
              <c:tx>
                <c:rich>
                  <a:bodyPr/>
                  <a:lstStyle/>
                  <a:p>
                    <a:r>
                      <a:rPr lang="en-US"/>
                      <a:t>Sect. Educación</a:t>
                    </a:r>
                  </a:p>
                </c:rich>
              </c:tx>
              <c:showLegendKey val="0"/>
              <c:showVal val="1"/>
              <c:showCatName val="1"/>
              <c:showSerName val="0"/>
              <c:showPercent val="0"/>
              <c:showBubbleSize val="0"/>
            </c:dLbl>
            <c:dLbl>
              <c:idx val="4"/>
              <c:layout>
                <c:manualLayout>
                  <c:x val="-7.2534991587700146E-2"/>
                  <c:y val="-2.1387131464807693E-2"/>
                </c:manualLayout>
              </c:layout>
              <c:tx>
                <c:rich>
                  <a:bodyPr/>
                  <a:lstStyle/>
                  <a:p>
                    <a:r>
                      <a:rPr lang="en-US"/>
                      <a:t>Sector Transporte  </a:t>
                    </a:r>
                  </a:p>
                </c:rich>
              </c:tx>
              <c:showLegendKey val="0"/>
              <c:showVal val="1"/>
              <c:showCatName val="1"/>
              <c:showSerName val="0"/>
              <c:showPercent val="0"/>
              <c:showBubbleSize val="0"/>
            </c:dLbl>
            <c:dLbl>
              <c:idx val="5"/>
              <c:layout>
                <c:manualLayout>
                  <c:x val="-0.13569772654826376"/>
                  <c:y val="-9.2825226441144604E-2"/>
                </c:manualLayout>
              </c:layout>
              <c:tx>
                <c:rich>
                  <a:bodyPr/>
                  <a:lstStyle/>
                  <a:p>
                    <a:r>
                      <a:rPr lang="en-US"/>
                      <a:t>Vivienda</a:t>
                    </a:r>
                  </a:p>
                </c:rich>
              </c:tx>
              <c:showLegendKey val="0"/>
              <c:showVal val="1"/>
              <c:showCatName val="1"/>
              <c:showSerName val="0"/>
              <c:showPercent val="0"/>
              <c:showBubbleSize val="0"/>
            </c:dLbl>
            <c:dLbl>
              <c:idx val="6"/>
              <c:layout>
                <c:manualLayout>
                  <c:x val="-3.3920915858250598E-2"/>
                  <c:y val="-0.16030378112414453"/>
                </c:manualLayout>
              </c:layout>
              <c:tx>
                <c:rich>
                  <a:bodyPr/>
                  <a:lstStyle/>
                  <a:p>
                    <a:r>
                      <a:rPr lang="en-US"/>
                      <a:t>Sect. Agropecuario; </a:t>
                    </a:r>
                  </a:p>
                </c:rich>
              </c:tx>
              <c:showLegendKey val="0"/>
              <c:showVal val="1"/>
              <c:showCatName val="1"/>
              <c:showSerName val="0"/>
              <c:showPercent val="0"/>
              <c:showBubbleSize val="0"/>
            </c:dLbl>
            <c:dLbl>
              <c:idx val="7"/>
              <c:layout>
                <c:manualLayout>
                  <c:x val="6.2791894872673448E-2"/>
                  <c:y val="-1.8979595297673103E-2"/>
                </c:manualLayout>
              </c:layout>
              <c:tx>
                <c:rich>
                  <a:bodyPr/>
                  <a:lstStyle/>
                  <a:p>
                    <a:r>
                      <a:rPr lang="en-US"/>
                      <a:t>Otros Sectores </a:t>
                    </a:r>
                  </a:p>
                  <a:p>
                    <a:endParaRPr lang="en-US"/>
                  </a:p>
                </c:rich>
              </c:tx>
              <c:showLegendKey val="0"/>
              <c:showVal val="1"/>
              <c:showCatName val="1"/>
              <c:showSerName val="0"/>
              <c:showPercent val="0"/>
              <c:showBubbleSize val="0"/>
            </c:dLbl>
            <c:dLbl>
              <c:idx val="8"/>
              <c:layout>
                <c:manualLayout>
                  <c:x val="5.9211098287968384E-3"/>
                  <c:y val="-0.10786509625015536"/>
                </c:manualLayout>
              </c:layout>
              <c:tx>
                <c:rich>
                  <a:bodyPr/>
                  <a:lstStyle/>
                  <a:p>
                    <a:r>
                      <a:rPr lang="en-US"/>
                      <a:t>Sect. Vivienda;</a:t>
                    </a:r>
                  </a:p>
                </c:rich>
              </c:tx>
              <c:showLegendKey val="0"/>
              <c:showVal val="1"/>
              <c:showCatName val="1"/>
              <c:showSerName val="0"/>
              <c:showPercent val="0"/>
              <c:showBubbleSize val="0"/>
            </c:dLbl>
            <c:showLegendKey val="0"/>
            <c:showVal val="1"/>
            <c:showCatName val="1"/>
            <c:showSerName val="0"/>
            <c:showPercent val="0"/>
            <c:showBubbleSize val="0"/>
            <c:showLeaderLines val="1"/>
          </c:dLbls>
          <c:cat>
            <c:strRef>
              <c:f>Hoja1!$A$2:$A$10</c:f>
              <c:strCache>
                <c:ptCount val="9"/>
                <c:pt idx="0">
                  <c:v>Sect. Salud</c:v>
                </c:pt>
                <c:pt idx="1">
                  <c:v>Sect.Transporte</c:v>
                </c:pt>
                <c:pt idx="2">
                  <c:v>Saneamiento básico </c:v>
                </c:pt>
                <c:pt idx="3">
                  <c:v>Sect. Educación</c:v>
                </c:pt>
                <c:pt idx="4">
                  <c:v>Sect. Defensa </c:v>
                </c:pt>
                <c:pt idx="5">
                  <c:v>Sect. Gobierno </c:v>
                </c:pt>
                <c:pt idx="6">
                  <c:v>Sect. Agropecuario</c:v>
                </c:pt>
                <c:pt idx="7">
                  <c:v>Otros Sectores </c:v>
                </c:pt>
                <c:pt idx="8">
                  <c:v>Sect. Vivienda</c:v>
                </c:pt>
              </c:strCache>
            </c:strRef>
          </c:cat>
          <c:val>
            <c:numRef>
              <c:f>Hoja1!$B$2:$B$10</c:f>
              <c:numCache>
                <c:formatCode>#.##0</c:formatCode>
                <c:ptCount val="9"/>
                <c:pt idx="0">
                  <c:v>2802161989</c:v>
                </c:pt>
                <c:pt idx="1">
                  <c:v>170750059</c:v>
                </c:pt>
                <c:pt idx="2">
                  <c:v>377176951</c:v>
                </c:pt>
                <c:pt idx="3">
                  <c:v>352985726</c:v>
                </c:pt>
                <c:pt idx="4">
                  <c:v>135000000</c:v>
                </c:pt>
                <c:pt idx="5">
                  <c:v>70000000</c:v>
                </c:pt>
                <c:pt idx="6">
                  <c:v>83400000</c:v>
                </c:pt>
                <c:pt idx="7">
                  <c:v>230500000</c:v>
                </c:pt>
                <c:pt idx="8">
                  <c:v>140000000</c:v>
                </c:pt>
              </c:numCache>
            </c:numRef>
          </c:val>
        </c:ser>
        <c:dLbls>
          <c:showLegendKey val="0"/>
          <c:showVal val="1"/>
          <c:showCatName val="1"/>
          <c:showSerName val="0"/>
          <c:showPercent val="0"/>
          <c:showBubbleSize val="0"/>
          <c:showLeaderLines val="1"/>
        </c:dLbls>
      </c:pie3DChart>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n-US">
                <a:latin typeface="Baskerville Old Face" pitchFamily="18" charset="0"/>
              </a:rPr>
              <a:t>ADICIONES</a:t>
            </a: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9.2469301865444165E-2"/>
          <c:y val="0.19148773014378825"/>
          <c:w val="0.82590276176957078"/>
          <c:h val="0.46495526615031429"/>
        </c:manualLayout>
      </c:layout>
      <c:bar3DChart>
        <c:barDir val="col"/>
        <c:grouping val="clustered"/>
        <c:varyColors val="0"/>
        <c:ser>
          <c:idx val="0"/>
          <c:order val="0"/>
          <c:tx>
            <c:strRef>
              <c:f>Hoja1!$B$1</c:f>
              <c:strCache>
                <c:ptCount val="1"/>
                <c:pt idx="0">
                  <c:v>Adiciones</c:v>
                </c:pt>
              </c:strCache>
            </c:strRef>
          </c:tx>
          <c:invertIfNegative val="0"/>
          <c:cat>
            <c:strRef>
              <c:f>Hoja1!$A$2:$A$12</c:f>
              <c:strCache>
                <c:ptCount val="11"/>
                <c:pt idx="0">
                  <c:v>Gobierno</c:v>
                </c:pt>
                <c:pt idx="1">
                  <c:v>Defensa</c:v>
                </c:pt>
                <c:pt idx="2">
                  <c:v>Agropecuario</c:v>
                </c:pt>
                <c:pt idx="3">
                  <c:v>Arte y Cultura</c:v>
                </c:pt>
                <c:pt idx="4">
                  <c:v>Transporte</c:v>
                </c:pt>
                <c:pt idx="5">
                  <c:v>Educacion</c:v>
                </c:pt>
                <c:pt idx="6">
                  <c:v>Recreacion y Deporte</c:v>
                </c:pt>
                <c:pt idx="7">
                  <c:v>Otros Sectores</c:v>
                </c:pt>
                <c:pt idx="8">
                  <c:v>Salud</c:v>
                </c:pt>
                <c:pt idx="9">
                  <c:v>Vivienda</c:v>
                </c:pt>
                <c:pt idx="10">
                  <c:v>Saniamiento Basico</c:v>
                </c:pt>
              </c:strCache>
            </c:strRef>
          </c:cat>
          <c:val>
            <c:numRef>
              <c:f>Hoja1!$B$2:$B$12</c:f>
              <c:numCache>
                <c:formatCode>General</c:formatCode>
                <c:ptCount val="11"/>
                <c:pt idx="0">
                  <c:v>57</c:v>
                </c:pt>
                <c:pt idx="1">
                  <c:v>117</c:v>
                </c:pt>
                <c:pt idx="2">
                  <c:v>143</c:v>
                </c:pt>
                <c:pt idx="3">
                  <c:v>187</c:v>
                </c:pt>
                <c:pt idx="4">
                  <c:v>225</c:v>
                </c:pt>
                <c:pt idx="5">
                  <c:v>352</c:v>
                </c:pt>
                <c:pt idx="6">
                  <c:v>407</c:v>
                </c:pt>
                <c:pt idx="7">
                  <c:v>467</c:v>
                </c:pt>
                <c:pt idx="8">
                  <c:v>1015</c:v>
                </c:pt>
                <c:pt idx="9">
                  <c:v>1045</c:v>
                </c:pt>
                <c:pt idx="10">
                  <c:v>1087</c:v>
                </c:pt>
              </c:numCache>
            </c:numRef>
          </c:val>
        </c:ser>
        <c:dLbls>
          <c:showLegendKey val="0"/>
          <c:showVal val="0"/>
          <c:showCatName val="0"/>
          <c:showSerName val="0"/>
          <c:showPercent val="0"/>
          <c:showBubbleSize val="0"/>
        </c:dLbls>
        <c:gapWidth val="150"/>
        <c:shape val="cylinder"/>
        <c:axId val="124303232"/>
        <c:axId val="124304768"/>
        <c:axId val="0"/>
      </c:bar3DChart>
      <c:catAx>
        <c:axId val="124303232"/>
        <c:scaling>
          <c:orientation val="minMax"/>
        </c:scaling>
        <c:delete val="0"/>
        <c:axPos val="b"/>
        <c:numFmt formatCode="General" sourceLinked="1"/>
        <c:majorTickMark val="none"/>
        <c:minorTickMark val="none"/>
        <c:tickLblPos val="nextTo"/>
        <c:crossAx val="124304768"/>
        <c:crosses val="autoZero"/>
        <c:auto val="1"/>
        <c:lblAlgn val="ctr"/>
        <c:lblOffset val="100"/>
        <c:noMultiLvlLbl val="0"/>
      </c:catAx>
      <c:valAx>
        <c:axId val="124304768"/>
        <c:scaling>
          <c:orientation val="minMax"/>
        </c:scaling>
        <c:delete val="0"/>
        <c:axPos val="l"/>
        <c:majorGridlines/>
        <c:numFmt formatCode="General" sourceLinked="1"/>
        <c:majorTickMark val="out"/>
        <c:minorTickMark val="none"/>
        <c:tickLblPos val="nextTo"/>
        <c:crossAx val="124303232"/>
        <c:crosses val="autoZero"/>
        <c:crossBetween val="between"/>
      </c:valAx>
    </c:plotArea>
    <c:legend>
      <c:legendPos val="r"/>
      <c:layout>
        <c:manualLayout>
          <c:xMode val="edge"/>
          <c:yMode val="edge"/>
          <c:x val="0.83263385319620642"/>
          <c:y val="0.80525041658621022"/>
          <c:w val="0.14428461487666325"/>
          <c:h val="8.2292226935096233E-2"/>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BC66018-34B7-459E-97EB-B640CC53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12</Pages>
  <Words>1799</Words>
  <Characters>9895</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PATRICIA MARTINEZ FLOREZ</dc:creator>
  <cp:lastModifiedBy>contraloria</cp:lastModifiedBy>
  <cp:revision>16</cp:revision>
  <cp:lastPrinted>2016-09-13T19:57:00Z</cp:lastPrinted>
  <dcterms:created xsi:type="dcterms:W3CDTF">2016-11-10T20:21:00Z</dcterms:created>
  <dcterms:modified xsi:type="dcterms:W3CDTF">2016-12-23T17:09:00Z</dcterms:modified>
</cp:coreProperties>
</file>