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AD4CE9">
      <w:pPr>
        <w:spacing w:before="0" w:after="0" w:line="228" w:lineRule="auto"/>
        <w:rPr>
          <w:rFonts w:ascii="Tahoma" w:hAnsi="Tahoma" w:cs="Tahoma"/>
        </w:rPr>
      </w:pPr>
      <w:bookmarkStart w:id="0" w:name="_GoBack"/>
      <w:bookmarkEnd w:id="0"/>
    </w:p>
    <w:p w:rsidR="0067758A" w:rsidRDefault="0067758A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672DB2" w:rsidP="00AD4CE9">
      <w:pPr>
        <w:spacing w:before="0" w:after="0" w:line="228" w:lineRule="auto"/>
        <w:rPr>
          <w:rFonts w:ascii="Tahoma" w:hAnsi="Tahoma" w:cs="Tahoma"/>
          <w:noProof/>
        </w:rPr>
      </w:pPr>
      <w:r w:rsidRPr="00672DB2">
        <w:rPr>
          <w:noProof/>
        </w:rPr>
        <w:drawing>
          <wp:inline distT="0" distB="0" distL="0" distR="0" wp14:anchorId="0E3C8FEB" wp14:editId="4469E3B1">
            <wp:extent cx="5613400" cy="4943272"/>
            <wp:effectExtent l="0" t="0" r="635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943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672DB2" w:rsidP="00AD4CE9">
      <w:pPr>
        <w:spacing w:before="0" w:after="0" w:line="228" w:lineRule="auto"/>
        <w:rPr>
          <w:rFonts w:ascii="Tahoma" w:hAnsi="Tahoma" w:cs="Tahoma"/>
          <w:noProof/>
        </w:rPr>
      </w:pPr>
      <w:r>
        <w:rPr>
          <w:noProof/>
        </w:rPr>
        <w:drawing>
          <wp:inline distT="0" distB="0" distL="0" distR="0" wp14:anchorId="1B8D6621" wp14:editId="33216252">
            <wp:extent cx="4572000" cy="2733675"/>
            <wp:effectExtent l="0" t="0" r="19050" b="9525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FF60E6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 Municipio de Murillo, al </w:t>
      </w:r>
      <w:r w:rsidR="00EC577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cierre de la anualidad 2015 presentó activos totales en cuantía de $23.716,9 millones, con un incremento del 12.25% frente al valor registrado en el 2014, que alcanzó la suma de $21.128,6 millones.</w:t>
      </w:r>
    </w:p>
    <w:p w:rsidR="00FF60E6" w:rsidRDefault="00FF60E6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FF60E6" w:rsidRDefault="00FF60E6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Comparado el saldo de la cuenta efectivo entre las vigencias 2014 y 2015, se tiene una disminución del 29.32% pasando de un saldo de $4.804 millones (2014) a $3.395,5 millones  en el 2015, de los cuales el 50.63% se encuentran consignados en cuentas corrientes y el 49.37% en cuentas de </w:t>
      </w:r>
      <w:r w:rsidR="003C7505">
        <w:rPr>
          <w:rFonts w:ascii="Tahoma" w:hAnsi="Tahoma" w:cs="Tahoma"/>
        </w:rPr>
        <w:t>ahorro.  La cuenta para fondos de solidaridad y retribución del ingreso presentó una disminución del 42.13% entre las vigencias 2014 y 2015.</w:t>
      </w:r>
    </w:p>
    <w:p w:rsidR="003C7505" w:rsidRDefault="003C7505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3C7505" w:rsidRDefault="003C7505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saldo de las cuentas de “Inversiones e Instrumentos Derivados” permaneció constante entre las vigencias 2015 y 2015.</w:t>
      </w:r>
    </w:p>
    <w:p w:rsidR="003C7505" w:rsidRDefault="003C7505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3C7505" w:rsidRDefault="003C7505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 la composición del Activo, las “Rentas por Cobrar” tan solo alcanza una participación del 048%, saldo que registró una disminución del 32.7 millones  al pasar de $146,6  millones en el 2014 a $113.8 millones en el 2015. </w:t>
      </w:r>
    </w:p>
    <w:p w:rsidR="00FF60E6" w:rsidRDefault="00FF60E6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1D0B0B" w:rsidRDefault="001D0B0B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“Deudores” registran a 31 de diciembre de 2015 un saldo de $1.266,6 millones,  el 23.16% más de lo contabilizado en el 2014 cuenta que finalizó con un saldo de $1.028, 4 millones.</w:t>
      </w:r>
    </w:p>
    <w:p w:rsidR="001D0B0B" w:rsidRDefault="001D0B0B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1D0B0B" w:rsidRDefault="001D0B0B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“Cuentas Bienes de uso público y Propiedad, Planta y Equipo” registran al finalizar la vigencia 2015 la suma de $8.662,8 y $5.926,1 millones respectivamente, con un incremento del 122.8% y 66.5% entre las vigencias 2014 y 2015.</w:t>
      </w:r>
    </w:p>
    <w:p w:rsidR="001D0B0B" w:rsidRDefault="001D0B0B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1D0B0B" w:rsidRDefault="001D0B0B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Caso inverso ocurre con la cuenta “Otros Activos” </w:t>
      </w:r>
      <w:r w:rsidR="00BD2CED">
        <w:rPr>
          <w:rFonts w:ascii="Tahoma" w:hAnsi="Tahoma" w:cs="Tahoma"/>
        </w:rPr>
        <w:t>que finalizó la vigencia con una disminución en su saldo del 43.89% que representa la suma de  $4.279,4 millones.</w:t>
      </w:r>
    </w:p>
    <w:p w:rsidR="00BD2CED" w:rsidRDefault="00BD2CED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BD2CED" w:rsidRDefault="00BD2CED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grupo de cuentas del Pasivo disminuyeron en un 62.26% el saldo registrado en el 2014 </w:t>
      </w:r>
      <w:r w:rsidR="004C1A5D">
        <w:rPr>
          <w:rFonts w:ascii="Tahoma" w:hAnsi="Tahoma" w:cs="Tahoma"/>
        </w:rPr>
        <w:t xml:space="preserve">fue de </w:t>
      </w:r>
      <w:r>
        <w:rPr>
          <w:rFonts w:ascii="Tahoma" w:hAnsi="Tahoma" w:cs="Tahoma"/>
        </w:rPr>
        <w:t xml:space="preserve"> ($3.240 millones) alcanzando a 31 de diciembre de 2015 un saldo de $1.222.8 millones.</w:t>
      </w:r>
    </w:p>
    <w:p w:rsidR="00BD2CED" w:rsidRDefault="00BD2CED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C00307" w:rsidRDefault="00C00307" w:rsidP="00FF60E6">
      <w:pPr>
        <w:spacing w:before="0" w:after="0" w:line="228" w:lineRule="auto"/>
        <w:jc w:val="both"/>
        <w:rPr>
          <w:rFonts w:ascii="Tahoma" w:hAnsi="Tahoma" w:cs="Tahoma"/>
        </w:rPr>
      </w:pPr>
    </w:p>
    <w:p w:rsidR="00BD2CED" w:rsidRDefault="00BD2CED" w:rsidP="00FF60E6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cuentas de mayor incremento en su </w:t>
      </w:r>
      <w:r w:rsidR="004C1A5D">
        <w:rPr>
          <w:rFonts w:ascii="Tahoma" w:hAnsi="Tahoma" w:cs="Tahoma"/>
        </w:rPr>
        <w:t>saldo fueron “Otros Pasivos” (110,11%) y Obligaciones Laborales (22.13%) mientras que las cuentas por pagar disminuyeron en un 75.96% alcanzando la suma de $691.6 millones frente a los $2.877 millones que habían registrado en el 2014.</w:t>
      </w: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C1A5D" w:rsidRDefault="004C1A5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al patrimonio el Balance General consolidado registra como saldo la suma de $22.494 millones con un incremento del 25.75% frente al valor registrado en la vigencia 2014.</w:t>
      </w:r>
    </w:p>
    <w:p w:rsidR="004C1A5D" w:rsidRDefault="004C1A5D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C1A5D" w:rsidRDefault="004C1A5D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 se tiene que las cuentas que presentan incrementos en sus saldos fueron “Superavit  por Donación”  (117.79%) y Capital Fiscal (33.68%</w:t>
      </w:r>
      <w:r w:rsidR="00C00307">
        <w:rPr>
          <w:rFonts w:ascii="Tahoma" w:hAnsi="Tahoma" w:cs="Tahoma"/>
        </w:rPr>
        <w:t>) alcanzando como saldos la suma de $590,6 millones y $17.184,5 millones.</w:t>
      </w:r>
    </w:p>
    <w:p w:rsidR="004C1A5D" w:rsidRDefault="004C1A5D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Pr="00AD4CE9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BC5D7D" w:rsidRDefault="00BC5D7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ESTADO DE ACTIVIDAD FINANCIERA, ECONÓMICA, SOCIAL Y AMBIENTAL COMPARATIVO</w:t>
      </w:r>
    </w:p>
    <w:p w:rsidR="00AD4CE9" w:rsidRPr="00AD4CE9" w:rsidRDefault="00AD4CE9" w:rsidP="00AD4CE9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Pr="00AD4CE9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E16EF6" w:rsidRDefault="00E16EF6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  <w:r w:rsidRPr="00C00307">
        <w:rPr>
          <w:noProof/>
        </w:rPr>
        <w:drawing>
          <wp:inline distT="0" distB="0" distL="0" distR="0" wp14:anchorId="033887B5" wp14:editId="2ABADA69">
            <wp:extent cx="5613400" cy="5631226"/>
            <wp:effectExtent l="0" t="0" r="6350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631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1B2C9D49" wp14:editId="5F4474CA">
            <wp:extent cx="4572000" cy="3057525"/>
            <wp:effectExtent l="0" t="0" r="1905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C00307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Analizado El Estado de Actividad Financiera del Municipio de Murillo a 31-12-2015, se tiene que el ente territorial obtuvo ingresos producto de sus operaciones  en cuantía de $10.013,4 millones  el (9.28%)</w:t>
      </w:r>
      <w:r w:rsidR="00835A68">
        <w:rPr>
          <w:rFonts w:ascii="Tahoma" w:hAnsi="Tahoma" w:cs="Tahoma"/>
        </w:rPr>
        <w:t xml:space="preserve"> más de lo obtenido en la vigencia 2014 cuyo saldo finalizó en $9.163,4 millones.</w:t>
      </w:r>
    </w:p>
    <w:p w:rsidR="00835A68" w:rsidRDefault="00835A68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835A68" w:rsidRDefault="00835A68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del grupo de los ingresos muestra mayor representatividad los saldos obtenidos en los ingresos no tributarios (167,05%) y Tributarios (96.13%) cuya cuantía alcanza en su orden la suma de $638,9 millones y $312 millones respectivamente.</w:t>
      </w:r>
    </w:p>
    <w:p w:rsidR="00835A68" w:rsidRDefault="00835A68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835A68" w:rsidRDefault="00835A68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ingresos provenientes del orden nacional (Sistema General de Participaciones) alcanzó un incremento del 11.14% pasando de $3.307,5 millones en el 2014 a $3.675,9 millones en el 2015.  Los recursos destinados para los sectores de educación y Propósito General se vieron disminuidos en un 7.40% ($211,9 millones) y 3.09% ($1.779 millones) frente al saldo percibido en el 2014</w:t>
      </w:r>
      <w:r w:rsidR="00311394">
        <w:rPr>
          <w:rFonts w:ascii="Tahoma" w:hAnsi="Tahoma" w:cs="Tahoma"/>
        </w:rPr>
        <w:t xml:space="preserve">.  </w:t>
      </w:r>
    </w:p>
    <w:p w:rsidR="00311394" w:rsidRDefault="00311394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311394" w:rsidRDefault="00311394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Sistema de Regalías por su parte registró al finalizar la vigencia un incremento del 30.49% pasando de $290,5 millones a $379 millones. </w:t>
      </w:r>
    </w:p>
    <w:p w:rsidR="00B93FEE" w:rsidRDefault="00B93FEE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B93FEE" w:rsidRDefault="00B93FEE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La cuenta “Otros Ingresos” disminuyó en un 57.32% el saldo registrado  del 2014($942,38) obteniendo un saldo definitivo en la cuenta  para la vigencia 2015 en cuantía de $ 402, 1 millones).</w:t>
      </w:r>
    </w:p>
    <w:p w:rsidR="00B93FEE" w:rsidRDefault="00B93FEE" w:rsidP="00C00307">
      <w:pPr>
        <w:spacing w:before="0" w:after="0" w:line="228" w:lineRule="auto"/>
        <w:jc w:val="both"/>
        <w:rPr>
          <w:rFonts w:ascii="Tahoma" w:hAnsi="Tahoma" w:cs="Tahoma"/>
        </w:rPr>
      </w:pPr>
    </w:p>
    <w:p w:rsidR="00B93FEE" w:rsidRDefault="00B93FEE" w:rsidP="00C0030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incremento del saldo de la cuenta gastos al igual que</w:t>
      </w:r>
      <w:r w:rsidR="0077425F">
        <w:rPr>
          <w:rFonts w:ascii="Tahoma" w:hAnsi="Tahoma" w:cs="Tahoma"/>
        </w:rPr>
        <w:t xml:space="preserve"> los ingresos alcanzaron el </w:t>
      </w:r>
      <w:r w:rsidR="00FC7146">
        <w:rPr>
          <w:rFonts w:ascii="Tahoma" w:hAnsi="Tahoma" w:cs="Tahoma"/>
        </w:rPr>
        <w:t>17.20</w:t>
      </w:r>
      <w:r>
        <w:rPr>
          <w:rFonts w:ascii="Tahoma" w:hAnsi="Tahoma" w:cs="Tahoma"/>
        </w:rPr>
        <w:t>% fi</w:t>
      </w:r>
      <w:r w:rsidR="0077425F">
        <w:rPr>
          <w:rFonts w:ascii="Tahoma" w:hAnsi="Tahoma" w:cs="Tahoma"/>
        </w:rPr>
        <w:t>nalizando la vigencia en $</w:t>
      </w:r>
      <w:r w:rsidR="00FC7146">
        <w:rPr>
          <w:rFonts w:ascii="Tahoma" w:hAnsi="Tahoma" w:cs="Tahoma"/>
        </w:rPr>
        <w:t>5.309.637</w:t>
      </w:r>
      <w:r w:rsidR="0042652E">
        <w:rPr>
          <w:rFonts w:ascii="Tahoma" w:hAnsi="Tahoma" w:cs="Tahoma"/>
        </w:rPr>
        <w:t xml:space="preserve"> mi</w:t>
      </w:r>
      <w:r>
        <w:rPr>
          <w:rFonts w:ascii="Tahoma" w:hAnsi="Tahoma" w:cs="Tahoma"/>
        </w:rPr>
        <w:t>llones.</w:t>
      </w:r>
    </w:p>
    <w:p w:rsidR="00C00307" w:rsidRDefault="00C00307" w:rsidP="00AD4CE9">
      <w:pPr>
        <w:spacing w:before="0" w:after="0" w:line="228" w:lineRule="auto"/>
        <w:rPr>
          <w:rFonts w:ascii="Tahoma" w:hAnsi="Tahoma" w:cs="Tahoma"/>
        </w:rPr>
      </w:pPr>
    </w:p>
    <w:p w:rsidR="00C00307" w:rsidRDefault="00B93FEE" w:rsidP="007810C7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Las cuentas contribuciones imputadas  y los impuestos, contribuciones y tasas presentaron disminución en sus saldos del 100% y 97.08% respectivamente, mientras que los gastos y operaciones finaliz</w:t>
      </w:r>
      <w:r w:rsidR="00837A3A">
        <w:rPr>
          <w:rFonts w:ascii="Tahoma" w:hAnsi="Tahoma" w:cs="Tahoma"/>
        </w:rPr>
        <w:t xml:space="preserve">aron con un incremento del 17.20  </w:t>
      </w:r>
      <w:r>
        <w:rPr>
          <w:rFonts w:ascii="Tahoma" w:hAnsi="Tahoma" w:cs="Tahoma"/>
        </w:rPr>
        <w:t xml:space="preserve">% más de lo percibido en el 2014, esto es </w:t>
      </w:r>
      <w:r w:rsidR="00837A3A">
        <w:rPr>
          <w:rFonts w:ascii="Tahoma" w:hAnsi="Tahoma" w:cs="Tahoma"/>
        </w:rPr>
        <w:t>$779.3 millones</w:t>
      </w:r>
    </w:p>
    <w:p w:rsidR="007810C7" w:rsidRDefault="007810C7" w:rsidP="007810C7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7810C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sectores que mayores gastos obtuvieron durante la anualidad fueron “Agua Potable</w:t>
      </w:r>
      <w:r w:rsidR="00500401">
        <w:rPr>
          <w:rFonts w:ascii="Tahoma" w:hAnsi="Tahoma" w:cs="Tahoma"/>
        </w:rPr>
        <w:t xml:space="preserve">” ($211,5 ) y vivienda ($276,2 millones) alcanzando un incremento frente al 2014 del 141,9% y 136,9%    </w:t>
      </w: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AD4CE9">
      <w:pPr>
        <w:pStyle w:val="Prrafodelista"/>
        <w:numPr>
          <w:ilvl w:val="1"/>
          <w:numId w:val="50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814D3D" w:rsidRPr="00AD4CE9">
        <w:rPr>
          <w:rFonts w:ascii="Tahoma" w:hAnsi="Tahoma" w:cs="Tahoma"/>
        </w:rPr>
        <w:t xml:space="preserve"> Corriente: nos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837A3A">
        <w:rPr>
          <w:rFonts w:ascii="Tahoma" w:hAnsi="Tahoma" w:cs="Tahoma"/>
        </w:rPr>
        <w:t>3.395,582</w:t>
      </w:r>
    </w:p>
    <w:p w:rsidR="00160B31" w:rsidRPr="00AD4CE9" w:rsidRDefault="0055694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</w:t>
      </w:r>
      <w:r w:rsidR="003D5BDF">
        <w:rPr>
          <w:rFonts w:ascii="Tahoma" w:hAnsi="Tahoma" w:cs="Tahoma"/>
        </w:rPr>
        <w:t xml:space="preserve"> </w:t>
      </w:r>
      <w:r w:rsidR="00837A3A">
        <w:rPr>
          <w:rFonts w:ascii="Tahoma" w:hAnsi="Tahoma" w:cs="Tahoma"/>
        </w:rPr>
        <w:t xml:space="preserve">  113,898</w:t>
      </w:r>
    </w:p>
    <w:p w:rsidR="001666F5" w:rsidRPr="00AD4CE9" w:rsidRDefault="001666F5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Deudores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 xml:space="preserve"> </w:t>
      </w:r>
      <w:r w:rsidR="00FC6560">
        <w:rPr>
          <w:rFonts w:ascii="Tahoma" w:hAnsi="Tahoma" w:cs="Tahoma"/>
        </w:rPr>
        <w:t xml:space="preserve">  </w:t>
      </w:r>
      <w:r w:rsidR="003A2D49">
        <w:rPr>
          <w:rFonts w:ascii="Tahoma" w:hAnsi="Tahoma" w:cs="Tahoma"/>
        </w:rPr>
        <w:t>1.266,640</w:t>
      </w:r>
      <w:r w:rsidR="003D5BDF">
        <w:rPr>
          <w:rFonts w:ascii="Tahoma" w:hAnsi="Tahoma" w:cs="Tahoma"/>
        </w:rPr>
        <w:t xml:space="preserve">   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3D5BD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C6560">
        <w:rPr>
          <w:rFonts w:ascii="Tahoma" w:hAnsi="Tahoma" w:cs="Tahoma"/>
        </w:rPr>
        <w:t xml:space="preserve"> $</w:t>
      </w:r>
      <w:r w:rsidR="00837A3A">
        <w:rPr>
          <w:rFonts w:ascii="Tahoma" w:hAnsi="Tahoma" w:cs="Tahoma"/>
        </w:rPr>
        <w:t xml:space="preserve"> 4.776,120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Pasivo Corriente: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Op</w:t>
      </w:r>
      <w:r w:rsidR="000467A1" w:rsidRPr="00AD4CE9">
        <w:rPr>
          <w:rFonts w:ascii="Tahoma" w:hAnsi="Tahoma" w:cs="Tahoma"/>
        </w:rPr>
        <w:t>eracion</w:t>
      </w:r>
      <w:r w:rsidR="003A2D49">
        <w:rPr>
          <w:rFonts w:ascii="Tahoma" w:hAnsi="Tahoma" w:cs="Tahoma"/>
        </w:rPr>
        <w:t xml:space="preserve">es de crédito </w:t>
      </w:r>
      <w:r w:rsidR="00837A3A">
        <w:rPr>
          <w:rFonts w:ascii="Tahoma" w:hAnsi="Tahoma" w:cs="Tahoma"/>
        </w:rPr>
        <w:t>público</w:t>
      </w:r>
      <w:r w:rsidR="003A2D49">
        <w:rPr>
          <w:rFonts w:ascii="Tahoma" w:hAnsi="Tahoma" w:cs="Tahoma"/>
        </w:rPr>
        <w:tab/>
      </w:r>
      <w:r w:rsidR="003A2D49">
        <w:rPr>
          <w:rFonts w:ascii="Tahoma" w:hAnsi="Tahoma" w:cs="Tahoma"/>
        </w:rPr>
        <w:tab/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Cuentas por Pagar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837A3A">
        <w:rPr>
          <w:rFonts w:ascii="Tahoma" w:hAnsi="Tahoma" w:cs="Tahoma"/>
        </w:rPr>
        <w:t xml:space="preserve">   $691.036</w:t>
      </w:r>
      <w:r w:rsidRPr="00AD4CE9">
        <w:rPr>
          <w:rFonts w:ascii="Tahoma" w:hAnsi="Tahoma" w:cs="Tahoma"/>
        </w:rPr>
        <w:t xml:space="preserve"> 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837A3A">
        <w:rPr>
          <w:rFonts w:ascii="Tahoma" w:hAnsi="Tahoma" w:cs="Tahoma"/>
        </w:rPr>
        <w:t>110.443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837A3A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$    801.479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3A2D49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</w:t>
      </w:r>
      <w:r w:rsidR="00837A3A">
        <w:rPr>
          <w:rFonts w:ascii="Tahoma" w:hAnsi="Tahoma" w:cs="Tahoma"/>
        </w:rPr>
        <w:t>4.776.120 / $801.479</w:t>
      </w:r>
      <w:r w:rsidR="001666F5" w:rsidRPr="00AD4CE9">
        <w:rPr>
          <w:rFonts w:ascii="Tahoma" w:hAnsi="Tahoma" w:cs="Tahoma"/>
        </w:rPr>
        <w:t xml:space="preserve"> = </w:t>
      </w:r>
      <w:r w:rsidR="00837A3A">
        <w:rPr>
          <w:rFonts w:ascii="Tahoma" w:hAnsi="Tahoma" w:cs="Tahoma"/>
        </w:rPr>
        <w:t>5.95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 xml:space="preserve">El anterior resultado </w:t>
      </w:r>
      <w:r w:rsidR="00837A3A" w:rsidRPr="00AD4CE9">
        <w:rPr>
          <w:rFonts w:ascii="Tahoma" w:hAnsi="Tahoma" w:cs="Tahoma"/>
        </w:rPr>
        <w:t xml:space="preserve">debe a corto plazo, cuenta con </w:t>
      </w:r>
      <w:r w:rsidR="00FC25B8">
        <w:rPr>
          <w:rFonts w:ascii="Tahoma" w:hAnsi="Tahoma" w:cs="Tahoma"/>
        </w:rPr>
        <w:t>5.95</w:t>
      </w:r>
      <w:r w:rsidR="00837A3A" w:rsidRPr="00AD4CE9">
        <w:rPr>
          <w:rFonts w:ascii="Tahoma" w:hAnsi="Tahoma" w:cs="Tahoma"/>
        </w:rPr>
        <w:t xml:space="preserve">  pesos en activos corriente para cubrirlos, lo que significa </w:t>
      </w:r>
      <w:r w:rsidRPr="00AD4CE9">
        <w:rPr>
          <w:rFonts w:ascii="Tahoma" w:hAnsi="Tahoma" w:cs="Tahoma"/>
        </w:rPr>
        <w:t>nos muestra que por cada peso que</w:t>
      </w:r>
      <w:r w:rsidR="008A0D90">
        <w:rPr>
          <w:rFonts w:ascii="Tahoma" w:hAnsi="Tahoma" w:cs="Tahoma"/>
        </w:rPr>
        <w:t xml:space="preserve"> la Ad</w:t>
      </w:r>
      <w:r w:rsidR="006D3150">
        <w:rPr>
          <w:rFonts w:ascii="Tahoma" w:hAnsi="Tahoma" w:cs="Tahoma"/>
        </w:rPr>
        <w:t>ministración Municipal de Murillo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que el mencionado munic</w:t>
      </w:r>
      <w:r w:rsidR="008A0D90">
        <w:rPr>
          <w:rFonts w:ascii="Tahoma" w:hAnsi="Tahoma" w:cs="Tahoma"/>
        </w:rPr>
        <w:t xml:space="preserve">ipio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5717EB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5717EB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$4.776.120 -  801.479</w:t>
      </w:r>
      <w:r w:rsidR="006D315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=3.974.641</w:t>
      </w:r>
      <w:r w:rsidR="006D3150">
        <w:rPr>
          <w:rFonts w:ascii="Tahoma" w:hAnsi="Tahoma" w:cs="Tahom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indica que el ente territorial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D3150" w:rsidRDefault="005717EB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859.078/23.716.902= 3.62%</w:t>
      </w:r>
    </w:p>
    <w:p w:rsidR="006D3150" w:rsidRPr="00AD4CE9" w:rsidRDefault="006D315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municipio, el </w:t>
      </w:r>
      <w:r w:rsidR="005717EB">
        <w:rPr>
          <w:rFonts w:ascii="Tahoma" w:hAnsi="Tahoma" w:cs="Tahoma"/>
        </w:rPr>
        <w:t>3.62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6D3150">
        <w:rPr>
          <w:rFonts w:ascii="Tahoma" w:hAnsi="Tahoma" w:cs="Tahoma"/>
        </w:rPr>
        <w:t>22.494.092 /23.716.902</w:t>
      </w:r>
      <w:r w:rsidR="005A36ED" w:rsidRPr="00AD4CE9">
        <w:rPr>
          <w:rFonts w:ascii="Tahoma" w:hAnsi="Tahoma" w:cs="Tahoma"/>
        </w:rPr>
        <w:t xml:space="preserve"> </w:t>
      </w:r>
      <w:r w:rsidR="00C26152">
        <w:rPr>
          <w:rFonts w:ascii="Tahoma" w:hAnsi="Tahoma" w:cs="Tahoma"/>
        </w:rPr>
        <w:t>= 94.84%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6D3150">
        <w:rPr>
          <w:rFonts w:ascii="Tahoma" w:hAnsi="Tahoma" w:cs="Tahoma"/>
        </w:rPr>
        <w:t>iormente nos indica que el 94.8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AD4CE9">
      <w:pPr>
        <w:pStyle w:val="Prrafodelista"/>
        <w:numPr>
          <w:ilvl w:val="0"/>
          <w:numId w:val="50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lastRenderedPageBreak/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D3150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municipio de Murillo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 w:rsidR="0077425F">
        <w:rPr>
          <w:rFonts w:ascii="Tahoma" w:hAnsi="Tahoma" w:cs="Tahoma"/>
        </w:rPr>
        <w:t>12.25</w:t>
      </w:r>
      <w:r w:rsidR="00402C3D">
        <w:rPr>
          <w:rFonts w:ascii="Tahoma" w:hAnsi="Tahoma" w:cs="Tahoma"/>
        </w:rPr>
        <w:t>% en la suma de  $</w:t>
      </w:r>
      <w:r w:rsidR="0077425F">
        <w:rPr>
          <w:rFonts w:ascii="Tahoma" w:hAnsi="Tahoma" w:cs="Tahoma"/>
        </w:rPr>
        <w:t>2.588,2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>(mi</w:t>
      </w:r>
      <w:r w:rsidR="00402C3D"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 w:rsidR="00402C3D">
        <w:rPr>
          <w:rFonts w:ascii="Tahoma" w:hAnsi="Tahoma" w:cs="Tahoma"/>
        </w:rPr>
        <w:t>$), con relación al periodo 2014</w:t>
      </w:r>
      <w:r w:rsidR="006756E8" w:rsidRPr="00AD4CE9">
        <w:rPr>
          <w:rFonts w:ascii="Tahoma" w:hAnsi="Tahoma" w:cs="Tahoma"/>
        </w:rPr>
        <w:t>, reflejados en las cuentas Depósitos en Instituciones Financieras y Deudores.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Default="00C6336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25.75</w:t>
      </w:r>
      <w:r w:rsidR="006756E8" w:rsidRPr="00AD4CE9">
        <w:rPr>
          <w:rFonts w:ascii="Tahoma" w:hAnsi="Tahoma" w:cs="Tahoma"/>
        </w:rPr>
        <w:t>%, apalancado principalmente por la cuenta Resultados del Ejercicio</w:t>
      </w:r>
      <w:r w:rsidR="000D2062" w:rsidRPr="00AD4CE9">
        <w:rPr>
          <w:rFonts w:ascii="Tahoma" w:hAnsi="Tahoma" w:cs="Tahoma"/>
        </w:rPr>
        <w:t xml:space="preserve"> que presenta un excedente por la suma de $</w:t>
      </w:r>
      <w:r w:rsidR="00402C3D">
        <w:rPr>
          <w:rFonts w:ascii="Tahoma" w:hAnsi="Tahoma" w:cs="Tahoma"/>
        </w:rPr>
        <w:t>19,225,5</w:t>
      </w:r>
      <w:r w:rsidR="0077425F">
        <w:rPr>
          <w:rFonts w:ascii="Tahoma" w:hAnsi="Tahoma" w:cs="Tahoma"/>
        </w:rPr>
        <w:t xml:space="preserve"> miles de pesos</w:t>
      </w:r>
      <w:r w:rsidR="000D2062" w:rsidRPr="00AD4CE9">
        <w:rPr>
          <w:rFonts w:ascii="Tahoma" w:hAnsi="Tahoma" w:cs="Tahoma"/>
        </w:rPr>
        <w:t>.</w:t>
      </w:r>
    </w:p>
    <w:p w:rsidR="00AD4CE9" w:rsidRPr="00AD4CE9" w:rsidRDefault="00AD4CE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5717EB">
        <w:rPr>
          <w:rFonts w:ascii="Tahoma" w:hAnsi="Tahoma" w:cs="Tahoma"/>
        </w:rPr>
        <w:t>, estaba representada en el 5.15</w:t>
      </w:r>
      <w:r w:rsidR="005565B1">
        <w:rPr>
          <w:rFonts w:ascii="Tahoma" w:hAnsi="Tahoma" w:cs="Tahoma"/>
        </w:rPr>
        <w:t>% los pasivos y el 94.85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0D2062" w:rsidP="0077425F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5565B1">
        <w:rPr>
          <w:rFonts w:ascii="Tahoma" w:hAnsi="Tahoma" w:cs="Tahoma"/>
        </w:rPr>
        <w:t>3.62</w:t>
      </w:r>
      <w:r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402C3D">
        <w:rPr>
          <w:rFonts w:ascii="Tahoma" w:hAnsi="Tahoma" w:cs="Tahoma"/>
        </w:rPr>
        <w:t>uir que el municipio de Melgar</w:t>
      </w:r>
      <w:r w:rsidR="00273691">
        <w:rPr>
          <w:rFonts w:ascii="Tahoma" w:hAnsi="Tahoma" w:cs="Tahoma"/>
        </w:rPr>
        <w:t xml:space="preserve">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581F77">
      <w:headerReference w:type="default" r:id="rId11"/>
      <w:footerReference w:type="default" r:id="rId12"/>
      <w:pgSz w:w="12242" w:h="15842" w:code="1"/>
      <w:pgMar w:top="2376" w:right="1701" w:bottom="2268" w:left="1701" w:header="18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499" w:rsidRDefault="00025499" w:rsidP="00650A99">
      <w:r>
        <w:separator/>
      </w:r>
    </w:p>
  </w:endnote>
  <w:endnote w:type="continuationSeparator" w:id="0">
    <w:p w:rsidR="00025499" w:rsidRDefault="00025499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4A0B97F" wp14:editId="24F8FDA7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5D4A5E" w:rsidRPr="005D4A5E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4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5D4A5E" w:rsidRPr="005D4A5E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8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A0B97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5D4A5E" w:rsidRPr="005D4A5E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4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5D4A5E" w:rsidRPr="005D4A5E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F27B233" wp14:editId="30EC5A1F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27B233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4A1A05" wp14:editId="13D52BF4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5D4A5E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4A1A05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5D4A5E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499" w:rsidRDefault="00025499" w:rsidP="00650A99">
      <w:r>
        <w:separator/>
      </w:r>
    </w:p>
  </w:footnote>
  <w:footnote w:type="continuationSeparator" w:id="0">
    <w:p w:rsidR="00025499" w:rsidRDefault="00025499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124F58" w:rsidRDefault="00DD0981">
    <w:pPr>
      <w:pStyle w:val="Encabezado"/>
      <w:rPr>
        <w:rFonts w:ascii="Tahoma" w:hAnsi="Tahoma" w:cs="Tahoma"/>
        <w:sz w:val="8"/>
      </w:rPr>
    </w:pPr>
  </w:p>
  <w:p w:rsidR="00DD0981" w:rsidRDefault="00581F77">
    <w:pPr>
      <w:pStyle w:val="Encabezado"/>
    </w:pPr>
    <w:r>
      <w:rPr>
        <w:noProof/>
      </w:rPr>
      <w:drawing>
        <wp:inline distT="0" distB="0" distL="0" distR="0" wp14:anchorId="099F8BA2" wp14:editId="48BC8E02">
          <wp:extent cx="1571625" cy="1219200"/>
          <wp:effectExtent l="0" t="0" r="952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67CA"/>
    <w:rsid w:val="00025419"/>
    <w:rsid w:val="00025499"/>
    <w:rsid w:val="0003468E"/>
    <w:rsid w:val="000352F0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1AAB"/>
    <w:rsid w:val="00084FFA"/>
    <w:rsid w:val="000913E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D0B0B"/>
    <w:rsid w:val="001D30AE"/>
    <w:rsid w:val="001E0386"/>
    <w:rsid w:val="001E19D5"/>
    <w:rsid w:val="001E2459"/>
    <w:rsid w:val="001E6C74"/>
    <w:rsid w:val="001F3E0C"/>
    <w:rsid w:val="00200B74"/>
    <w:rsid w:val="00203B8E"/>
    <w:rsid w:val="002049C5"/>
    <w:rsid w:val="00204E7B"/>
    <w:rsid w:val="00216974"/>
    <w:rsid w:val="00224140"/>
    <w:rsid w:val="00226503"/>
    <w:rsid w:val="002467D6"/>
    <w:rsid w:val="00250B2A"/>
    <w:rsid w:val="00254A87"/>
    <w:rsid w:val="002608D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62AF"/>
    <w:rsid w:val="002E1436"/>
    <w:rsid w:val="002E7240"/>
    <w:rsid w:val="002F54E8"/>
    <w:rsid w:val="003026A2"/>
    <w:rsid w:val="00303824"/>
    <w:rsid w:val="00306CC6"/>
    <w:rsid w:val="00311394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2D49"/>
    <w:rsid w:val="003A5822"/>
    <w:rsid w:val="003B11DD"/>
    <w:rsid w:val="003B72A8"/>
    <w:rsid w:val="003B7F8F"/>
    <w:rsid w:val="003C0774"/>
    <w:rsid w:val="003C5E57"/>
    <w:rsid w:val="003C7505"/>
    <w:rsid w:val="003D499A"/>
    <w:rsid w:val="003D5BDF"/>
    <w:rsid w:val="003E25A9"/>
    <w:rsid w:val="003F5E08"/>
    <w:rsid w:val="00402C3D"/>
    <w:rsid w:val="004032C1"/>
    <w:rsid w:val="00407637"/>
    <w:rsid w:val="004120E2"/>
    <w:rsid w:val="0042652E"/>
    <w:rsid w:val="00426FB0"/>
    <w:rsid w:val="00430D77"/>
    <w:rsid w:val="00440EAB"/>
    <w:rsid w:val="00452E65"/>
    <w:rsid w:val="00454B8B"/>
    <w:rsid w:val="00461871"/>
    <w:rsid w:val="00466271"/>
    <w:rsid w:val="0046718C"/>
    <w:rsid w:val="004674EF"/>
    <w:rsid w:val="00467508"/>
    <w:rsid w:val="00467595"/>
    <w:rsid w:val="00480FCA"/>
    <w:rsid w:val="0048203B"/>
    <w:rsid w:val="0049303C"/>
    <w:rsid w:val="00496461"/>
    <w:rsid w:val="004A00E3"/>
    <w:rsid w:val="004B3739"/>
    <w:rsid w:val="004C10FE"/>
    <w:rsid w:val="004C1A5D"/>
    <w:rsid w:val="004C250E"/>
    <w:rsid w:val="004C27B6"/>
    <w:rsid w:val="004E17F3"/>
    <w:rsid w:val="004E3F57"/>
    <w:rsid w:val="004E585C"/>
    <w:rsid w:val="004F2F93"/>
    <w:rsid w:val="004F4C50"/>
    <w:rsid w:val="00500401"/>
    <w:rsid w:val="00506345"/>
    <w:rsid w:val="00516E68"/>
    <w:rsid w:val="00520FA4"/>
    <w:rsid w:val="0052650A"/>
    <w:rsid w:val="005279E8"/>
    <w:rsid w:val="00551920"/>
    <w:rsid w:val="00552A0E"/>
    <w:rsid w:val="005565B1"/>
    <w:rsid w:val="00556949"/>
    <w:rsid w:val="00560B0C"/>
    <w:rsid w:val="00560CA3"/>
    <w:rsid w:val="00562B5C"/>
    <w:rsid w:val="00563F32"/>
    <w:rsid w:val="005717EB"/>
    <w:rsid w:val="00581F77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4A5E"/>
    <w:rsid w:val="005D533E"/>
    <w:rsid w:val="005D66B0"/>
    <w:rsid w:val="005E1DE9"/>
    <w:rsid w:val="005E5E78"/>
    <w:rsid w:val="005F356A"/>
    <w:rsid w:val="00603AAD"/>
    <w:rsid w:val="00605900"/>
    <w:rsid w:val="006068E9"/>
    <w:rsid w:val="006074FF"/>
    <w:rsid w:val="00617A76"/>
    <w:rsid w:val="00617E98"/>
    <w:rsid w:val="00630301"/>
    <w:rsid w:val="00644A95"/>
    <w:rsid w:val="00650A99"/>
    <w:rsid w:val="00652DA3"/>
    <w:rsid w:val="0065368E"/>
    <w:rsid w:val="00654211"/>
    <w:rsid w:val="00670D69"/>
    <w:rsid w:val="00672971"/>
    <w:rsid w:val="00672DB2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6D3150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7425F"/>
    <w:rsid w:val="007810C7"/>
    <w:rsid w:val="00796DDA"/>
    <w:rsid w:val="007A3608"/>
    <w:rsid w:val="007B4882"/>
    <w:rsid w:val="007B70F7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35A68"/>
    <w:rsid w:val="00837A3A"/>
    <w:rsid w:val="00862966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606B3"/>
    <w:rsid w:val="00966EAD"/>
    <w:rsid w:val="00990B51"/>
    <w:rsid w:val="00991F22"/>
    <w:rsid w:val="009C0615"/>
    <w:rsid w:val="009C2E8D"/>
    <w:rsid w:val="009D7ECE"/>
    <w:rsid w:val="009F0EF0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3FEE"/>
    <w:rsid w:val="00B97673"/>
    <w:rsid w:val="00BB2EB5"/>
    <w:rsid w:val="00BB3D88"/>
    <w:rsid w:val="00BC5D7D"/>
    <w:rsid w:val="00BC6235"/>
    <w:rsid w:val="00BD2CED"/>
    <w:rsid w:val="00BD3082"/>
    <w:rsid w:val="00BE325A"/>
    <w:rsid w:val="00C00307"/>
    <w:rsid w:val="00C0423C"/>
    <w:rsid w:val="00C06948"/>
    <w:rsid w:val="00C20CA8"/>
    <w:rsid w:val="00C26152"/>
    <w:rsid w:val="00C276A2"/>
    <w:rsid w:val="00C334D1"/>
    <w:rsid w:val="00C35423"/>
    <w:rsid w:val="00C36BE7"/>
    <w:rsid w:val="00C404DC"/>
    <w:rsid w:val="00C43064"/>
    <w:rsid w:val="00C54674"/>
    <w:rsid w:val="00C6336F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96797"/>
    <w:rsid w:val="00DA07E0"/>
    <w:rsid w:val="00DA76D0"/>
    <w:rsid w:val="00DB2278"/>
    <w:rsid w:val="00DD0981"/>
    <w:rsid w:val="00DD5CA9"/>
    <w:rsid w:val="00E00EAB"/>
    <w:rsid w:val="00E06024"/>
    <w:rsid w:val="00E16EF6"/>
    <w:rsid w:val="00E35BA6"/>
    <w:rsid w:val="00E37DA4"/>
    <w:rsid w:val="00E438FA"/>
    <w:rsid w:val="00E44E11"/>
    <w:rsid w:val="00E562E9"/>
    <w:rsid w:val="00E745B9"/>
    <w:rsid w:val="00E80CF1"/>
    <w:rsid w:val="00EC5776"/>
    <w:rsid w:val="00ED18CB"/>
    <w:rsid w:val="00F067EF"/>
    <w:rsid w:val="00F11CE8"/>
    <w:rsid w:val="00F152E9"/>
    <w:rsid w:val="00F413A2"/>
    <w:rsid w:val="00F57D5F"/>
    <w:rsid w:val="00F64422"/>
    <w:rsid w:val="00F74A4C"/>
    <w:rsid w:val="00FA4C6D"/>
    <w:rsid w:val="00FB1D70"/>
    <w:rsid w:val="00FC25B8"/>
    <w:rsid w:val="00FC413F"/>
    <w:rsid w:val="00FC6560"/>
    <w:rsid w:val="00FC7146"/>
    <w:rsid w:val="00FD1869"/>
    <w:rsid w:val="00FD52EC"/>
    <w:rsid w:val="00FE438F"/>
    <w:rsid w:val="00FE5384"/>
    <w:rsid w:val="00FF5EDB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C9FDAF0C-0545-424B-BECD-63C4B3F3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Murillo\Cuadro%20Comparativo.xls" TargetMode="External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F:\informe%20fiscal%20y%20financiero\Murillo\Cuadro%20Comparativo.xls" TargetMode="External"/><Relationship Id="rId1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 sz="1400"/>
              <a:t>Balance General Comparativo </a:t>
            </a:r>
          </a:p>
          <a:p>
            <a:pPr>
              <a:defRPr/>
            </a:pPr>
            <a:r>
              <a:rPr lang="es-CO" sz="1400" b="0"/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0</c:formatCode>
                <c:ptCount val="3"/>
                <c:pt idx="0">
                  <c:v>23716902</c:v>
                </c:pt>
                <c:pt idx="1">
                  <c:v>1222810</c:v>
                </c:pt>
                <c:pt idx="2">
                  <c:v>22494092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0</c:formatCode>
                <c:ptCount val="3"/>
                <c:pt idx="0">
                  <c:v>21128665</c:v>
                </c:pt>
                <c:pt idx="1">
                  <c:v>3240022</c:v>
                </c:pt>
                <c:pt idx="2">
                  <c:v>17888643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17068928"/>
        <c:axId val="1917072736"/>
        <c:axId val="0"/>
      </c:bar3DChart>
      <c:catAx>
        <c:axId val="1917068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917072736"/>
        <c:crosses val="autoZero"/>
        <c:auto val="1"/>
        <c:lblAlgn val="ctr"/>
        <c:lblOffset val="100"/>
        <c:noMultiLvlLbl val="0"/>
      </c:catAx>
      <c:valAx>
        <c:axId val="1917072736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s-CO"/>
          </a:p>
        </c:txPr>
        <c:crossAx val="19170689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s-CO" sz="1400">
                <a:solidFill>
                  <a:schemeClr val="bg1"/>
                </a:solidFill>
              </a:rPr>
              <a:t>Estado de Actividad</a:t>
            </a:r>
            <a:r>
              <a:rPr lang="es-CO" sz="1400" baseline="0">
                <a:solidFill>
                  <a:schemeClr val="bg1"/>
                </a:solidFill>
              </a:rPr>
              <a:t> Financiera, Economica, Social y Ambiental </a:t>
            </a:r>
            <a:r>
              <a:rPr lang="es-CO" sz="1400" b="0" baseline="0">
                <a:solidFill>
                  <a:schemeClr val="bg1"/>
                </a:solidFill>
              </a:rPr>
              <a:t>(miles de pesos)</a:t>
            </a:r>
            <a:endParaRPr lang="es-CO" sz="1400" b="0">
              <a:solidFill>
                <a:schemeClr val="bg1"/>
              </a:solidFill>
            </a:endParaRPr>
          </a:p>
        </c:rich>
      </c:tx>
      <c:layout/>
      <c:overlay val="0"/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Graficas!$A$22</c:f>
              <c:strCache>
                <c:ptCount val="1"/>
                <c:pt idx="0">
                  <c:v>INGRESOS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28995062675619554"/>
                </c:manualLayout>
              </c:layout>
              <c:spPr/>
              <c:txPr>
                <a:bodyPr rot="-5400000" vert="horz"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28116424412721991"/>
                </c:manualLayout>
              </c:layout>
              <c:spPr/>
              <c:txPr>
                <a:bodyPr rot="-5400000" vert="horz"/>
                <a:lstStyle/>
                <a:p>
                  <a:pPr>
                    <a:defRPr b="1"/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Graficas!$B$22:$C$22</c:f>
              <c:numCache>
                <c:formatCode>0</c:formatCode>
                <c:ptCount val="2"/>
                <c:pt idx="0">
                  <c:v>10013446</c:v>
                </c:pt>
                <c:pt idx="1">
                  <c:v>9163414</c:v>
                </c:pt>
              </c:numCache>
            </c:numRef>
          </c:val>
        </c:ser>
        <c:ser>
          <c:idx val="1"/>
          <c:order val="1"/>
          <c:tx>
            <c:strRef>
              <c:f>Graficas!$A$23</c:f>
              <c:strCache>
                <c:ptCount val="1"/>
                <c:pt idx="0">
                  <c:v>GASTOS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444444444444495E-2"/>
                  <c:y val="-4.15368639667705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444444444444444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Graficas!$B$21:$C$21</c:f>
              <c:numCache>
                <c:formatCode>General</c:formatCode>
                <c:ptCount val="2"/>
                <c:pt idx="0">
                  <c:v>2015</c:v>
                </c:pt>
                <c:pt idx="1">
                  <c:v>2014</c:v>
                </c:pt>
              </c:numCache>
            </c:numRef>
          </c:cat>
          <c:val>
            <c:numRef>
              <c:f>Graficas!$B$23:$C$23</c:f>
              <c:numCache>
                <c:formatCode>0</c:formatCode>
                <c:ptCount val="2"/>
                <c:pt idx="0">
                  <c:v>10013446</c:v>
                </c:pt>
                <c:pt idx="1">
                  <c:v>9163414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17074912"/>
        <c:axId val="1917078176"/>
        <c:axId val="1918655936"/>
      </c:bar3DChart>
      <c:catAx>
        <c:axId val="1917074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solidFill>
                  <a:schemeClr val="bg1"/>
                </a:solidFill>
              </a:defRPr>
            </a:pPr>
            <a:endParaRPr lang="es-CO"/>
          </a:p>
        </c:txPr>
        <c:crossAx val="1917078176"/>
        <c:crosses val="autoZero"/>
        <c:auto val="1"/>
        <c:lblAlgn val="ctr"/>
        <c:lblOffset val="100"/>
        <c:noMultiLvlLbl val="0"/>
      </c:catAx>
      <c:valAx>
        <c:axId val="1917078176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/>
          <a:lstStyle/>
          <a:p>
            <a:pPr>
              <a:defRPr b="1">
                <a:solidFill>
                  <a:schemeClr val="bg1"/>
                </a:solidFill>
              </a:defRPr>
            </a:pPr>
            <a:endParaRPr lang="es-CO"/>
          </a:p>
        </c:txPr>
        <c:crossAx val="1917074912"/>
        <c:crosses val="autoZero"/>
        <c:crossBetween val="between"/>
      </c:valAx>
      <c:serAx>
        <c:axId val="1918655936"/>
        <c:scaling>
          <c:orientation val="minMax"/>
        </c:scaling>
        <c:delete val="1"/>
        <c:axPos val="b"/>
        <c:majorTickMark val="out"/>
        <c:minorTickMark val="none"/>
        <c:tickLblPos val="nextTo"/>
        <c:crossAx val="1917078176"/>
        <c:crosses val="autoZero"/>
      </c:serAx>
      <c:spPr>
        <a:noFill/>
        <a:ln w="25400">
          <a:noFill/>
        </a:ln>
      </c:spPr>
    </c:plotArea>
    <c:legend>
      <c:legendPos val="r"/>
      <c:layout/>
      <c:overlay val="0"/>
      <c:spPr>
        <a:noFill/>
      </c:spPr>
      <c:txPr>
        <a:bodyPr/>
        <a:lstStyle/>
        <a:p>
          <a:pPr>
            <a:defRPr b="1">
              <a:solidFill>
                <a:schemeClr val="bg1"/>
              </a:solidFill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8</Pages>
  <Words>1275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16</cp:revision>
  <cp:lastPrinted>2016-12-25T22:11:00Z</cp:lastPrinted>
  <dcterms:created xsi:type="dcterms:W3CDTF">2015-09-24T21:09:00Z</dcterms:created>
  <dcterms:modified xsi:type="dcterms:W3CDTF">2016-12-25T22:11:00Z</dcterms:modified>
</cp:coreProperties>
</file>