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58A" w:rsidRPr="0067758A" w:rsidRDefault="0067758A" w:rsidP="0067758A">
      <w:pPr>
        <w:pStyle w:val="Prrafodelista"/>
        <w:numPr>
          <w:ilvl w:val="0"/>
          <w:numId w:val="50"/>
        </w:numPr>
        <w:rPr>
          <w:b/>
        </w:rPr>
      </w:pPr>
      <w:bookmarkStart w:id="0" w:name="_GoBack"/>
      <w:bookmarkEnd w:id="0"/>
      <w:r w:rsidRPr="0067758A">
        <w:rPr>
          <w:rFonts w:ascii="Tahoma" w:hAnsi="Tahoma" w:cs="Tahoma"/>
          <w:b/>
        </w:rPr>
        <w:t xml:space="preserve">BALANCE GENERAL COMPARATIVO </w:t>
      </w:r>
    </w:p>
    <w:tbl>
      <w:tblPr>
        <w:tblW w:w="10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0"/>
        <w:gridCol w:w="1360"/>
        <w:gridCol w:w="1400"/>
        <w:gridCol w:w="1620"/>
        <w:gridCol w:w="1420"/>
      </w:tblGrid>
      <w:tr w:rsidR="002C3709" w:rsidRPr="002C3709" w:rsidTr="002C3709">
        <w:trPr>
          <w:trHeight w:val="300"/>
        </w:trPr>
        <w:tc>
          <w:tcPr>
            <w:tcW w:w="10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</w:pPr>
            <w:r w:rsidRPr="002C3709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>ALCALDÍA MUNICIPAL DE EL GUAMO</w:t>
            </w:r>
          </w:p>
        </w:tc>
      </w:tr>
      <w:tr w:rsidR="002C3709" w:rsidRPr="002C3709" w:rsidTr="002C3709">
        <w:trPr>
          <w:trHeight w:val="255"/>
        </w:trPr>
        <w:tc>
          <w:tcPr>
            <w:tcW w:w="10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</w:rPr>
            </w:pPr>
            <w:r w:rsidRPr="002C3709">
              <w:rPr>
                <w:rFonts w:ascii="Tahoma" w:eastAsia="Times New Roman" w:hAnsi="Tahoma" w:cs="Tahoma"/>
                <w:color w:val="auto"/>
              </w:rPr>
              <w:t>Balance General Comparativo 2015 - 2014</w:t>
            </w:r>
          </w:p>
        </w:tc>
      </w:tr>
      <w:tr w:rsidR="002C3709" w:rsidRPr="002C3709" w:rsidTr="002C3709">
        <w:trPr>
          <w:trHeight w:val="270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 w:rsidRPr="002C3709">
              <w:rPr>
                <w:rFonts w:eastAsia="Times New Roman"/>
                <w:color w:val="auto"/>
                <w:sz w:val="20"/>
                <w:szCs w:val="20"/>
              </w:rPr>
              <w:t>miles de $</w:t>
            </w:r>
          </w:p>
        </w:tc>
      </w:tr>
      <w:tr w:rsidR="002C3709" w:rsidRPr="002C3709" w:rsidTr="002C3709">
        <w:trPr>
          <w:trHeight w:val="525"/>
        </w:trPr>
        <w:tc>
          <w:tcPr>
            <w:tcW w:w="4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963634"/>
            <w:vAlign w:val="center"/>
            <w:hideMark/>
          </w:tcPr>
          <w:p w:rsidR="002C3709" w:rsidRPr="002C3709" w:rsidRDefault="002C3709" w:rsidP="002C3709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2C3709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963634"/>
            <w:vAlign w:val="center"/>
            <w:hideMark/>
          </w:tcPr>
          <w:p w:rsidR="002C3709" w:rsidRPr="002C3709" w:rsidRDefault="002C3709" w:rsidP="002C3709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2C3709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- 2015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963634"/>
            <w:vAlign w:val="center"/>
            <w:hideMark/>
          </w:tcPr>
          <w:p w:rsidR="002C3709" w:rsidRPr="002C3709" w:rsidRDefault="002C3709" w:rsidP="002C3709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2C3709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- 2014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963634"/>
            <w:vAlign w:val="center"/>
            <w:hideMark/>
          </w:tcPr>
          <w:p w:rsidR="002C3709" w:rsidRPr="002C3709" w:rsidRDefault="002C3709" w:rsidP="002C3709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2C3709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ABSOLUTA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963634"/>
            <w:vAlign w:val="center"/>
            <w:hideMark/>
          </w:tcPr>
          <w:p w:rsidR="002C3709" w:rsidRPr="002C3709" w:rsidRDefault="002C3709" w:rsidP="002C3709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2C3709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RELATIVA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ACTIVOS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47,308,865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46,979,295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329,570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0.70%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EFECTIVO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2,531,593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3,337,122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-805,529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-24.14%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CAJA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12,971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20,442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-7,471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-36.55%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DEPÓSITOS EN INSTITUCIONES FINANCIERAS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2,235,617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3,033,675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-798,058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-26.31%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FONDOS EN TRÁNSITO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283,005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283,005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INVERSIONES E INSTRUMENTOS DERIVADOS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1,268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16.54%</w:t>
            </w:r>
          </w:p>
        </w:tc>
      </w:tr>
      <w:tr w:rsidR="002C3709" w:rsidRPr="002C3709" w:rsidTr="002C3709">
        <w:trPr>
          <w:trHeight w:val="4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INVERSIONES ADMINISTRACIÓN DE LIQUIDEZ EN TÍTULOS PARTICIPATIVOS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1,268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16.54%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RENTAS POR COBRAR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6,433,907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6,178,467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255,440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4.13%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VIGENCIA ACTUAL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772,958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884,252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-111,294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-12.59%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VIGENCIAS ANTERIORES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5,660,949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5,294,215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366,734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6.93%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DEUDORES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8,878,735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7,970,867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907,868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11.39%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NO TRIBUTARIOS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23,602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25,303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-1,701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-6.72%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SERVICIOS PÚBLICOS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13,414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13,414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POR COBRAR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1,417,334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1,696,762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-279,428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-16.47%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AVANCES Y ANTICIPOS ENTREGADOS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837,584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1,177,884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-340,300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-28.89%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RECURSOS ENTREGADOS EN ADMINISTRACIÓN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2,053,092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473,240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1,579,852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333.84%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DEPÓSITOS ENTREGADOS EN GARANTÍA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3,081,171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3,081,171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DEUDORES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1,452,491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1,502,946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-50,455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-3.36%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PROPIEDADES, PLANTA Y EQUIPO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15,391,772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15,725,227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-333,455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-2.12%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TERRENOS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6,122,842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6,239,371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-116,529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-1.87%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MUEBLES EN BODEGA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316,914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323,464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-6,550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-2.02%</w:t>
            </w:r>
          </w:p>
        </w:tc>
      </w:tr>
      <w:tr w:rsidR="002C3709" w:rsidRPr="002C3709" w:rsidTr="002C3709">
        <w:trPr>
          <w:trHeight w:val="4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PROPIEDADES, PLANTA Y EQUIPO EN MANTENIMIENTO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15,480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15,480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2C3709" w:rsidRPr="002C3709" w:rsidTr="002C3709">
        <w:trPr>
          <w:trHeight w:val="4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PROPIEDADES, PLANTA Y EQUIPO NO EXPLOTADOS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1,160,509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1,160,509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EDIFICACIONES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7,644,186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7,644,186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PLANTAS, DUCTOS Y TÚNELES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299,748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299,748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REDES, LÍNEAS Y CABLES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185,687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185,687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MAQUINARIA Y EQUIPO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1,209,314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1,197,264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12,050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1.01%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 MÉDICO Y CIENTÍFICO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MUEBLES, ENSERES Y EQUIPO DE OFICINA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293,525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293,525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EQUIPOS DE COMUNICACIÓN Y COMPUTACIÓN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304,816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304,816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C3709" w:rsidRPr="002C3709" w:rsidTr="002C3709">
        <w:trPr>
          <w:trHeight w:val="4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TRANSPORTE, TRACCIÓN Y ELEVACIÓN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860,785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856,580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4,205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0.49%</w:t>
            </w:r>
          </w:p>
        </w:tc>
      </w:tr>
      <w:tr w:rsidR="002C3709" w:rsidRPr="002C3709" w:rsidTr="002C3709">
        <w:trPr>
          <w:trHeight w:val="4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COMEDOR, COCINA, DESPENSA Y HOTELERÍA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11,267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DEPRECIACIÓN ACUMULADA (CR)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-3,033,501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-2,791,390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-242,111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8.67%</w:t>
            </w:r>
          </w:p>
        </w:tc>
      </w:tr>
      <w:tr w:rsidR="002C3709" w:rsidRPr="002C3709" w:rsidTr="002C3709">
        <w:trPr>
          <w:trHeight w:val="4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USO PÚBLICO E HISTÓRICOS Y CULTURALES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1,798,703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1,798,703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C3709" w:rsidRPr="002C3709" w:rsidTr="002C3709">
        <w:trPr>
          <w:trHeight w:val="4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USO PÚBLICO E HISTÓRICOS Y CULTURALES EN CONSTRUCCIÓN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336,649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336,649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USO PÚBLICO EN SERVICIO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1,462,054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1,462,054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ACTIVOS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12,272,887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11,967,821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305,066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2.55%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RESERVA FINANCIERA ACTUARIAL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10,580,219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10,264,300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315,919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3.08%</w:t>
            </w:r>
          </w:p>
        </w:tc>
      </w:tr>
      <w:tr w:rsidR="002C3709" w:rsidRPr="002C3709" w:rsidTr="002C3709">
        <w:trPr>
          <w:trHeight w:val="4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Y SERVICIOS PAGADOS POR ANTICIPADO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280,254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280,254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CARGOS DIFERIDOS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76,900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87,753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-10,853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-12.37%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DERECHOS EN FIDEICOMISO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1,955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ARTE Y CULTURA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786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VALORIZACIONES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1,332,773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1,332,773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PASIVOS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22,373,209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28,615,729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-6,242,520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-21.81%</w:t>
            </w:r>
          </w:p>
        </w:tc>
      </w:tr>
      <w:tr w:rsidR="002C3709" w:rsidRPr="002C3709" w:rsidTr="002C3709">
        <w:trPr>
          <w:trHeight w:val="4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OPERACIONES DE CRÉDITO PÚBLICO Y FINANCIAMIENTO CON BANCA CENTRAL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814,035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-814,035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2C3709" w:rsidRPr="002C3709" w:rsidTr="002C3709">
        <w:trPr>
          <w:trHeight w:val="4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OPERACIONES DE CRÉDITO PÚBLICO INTERNAS DE LARGO PLAZO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814,035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-814,035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CUENTAS POR PAGAR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7,881,407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7,531,891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349,516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4.64%</w:t>
            </w:r>
          </w:p>
        </w:tc>
      </w:tr>
      <w:tr w:rsidR="002C3709" w:rsidRPr="002C3709" w:rsidTr="002C3709">
        <w:trPr>
          <w:trHeight w:val="4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ADQUISICIÓN DE BIENES Y SERVICIOS NACIONALES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949,733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1,403,779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-454,046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-32.34%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POR PAGAR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112,103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69,838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42,265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60.52%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INTERESES POR PAGAR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6,160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ACREEDORES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553,124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550,621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2,503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0.45%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SUBSIDIOS ASIGNADOS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30,471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30,469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0.01%</w:t>
            </w:r>
          </w:p>
        </w:tc>
      </w:tr>
      <w:tr w:rsidR="002C3709" w:rsidRPr="002C3709" w:rsidTr="002C3709">
        <w:trPr>
          <w:trHeight w:val="4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RETENCIÓN EN LA FUENTE E IMPUESTO DE TIMBRE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22,549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16,386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6,163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37.61%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IMPUESTO AL VALOR AGREGADO - IVA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AVANCES Y ANTICIPOS RECIBIDOS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2,295,468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2,025,056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270,412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13.35%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RECURSOS RECIBIDOS EN ADMINISTRACIÓN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70,272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70,272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DEPÓSITOS RECIBIDOS EN GARANTÍA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2,915,099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2,502,059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413,040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16.51%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CRÉDITOS JUDICIALES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49,568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50,654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-1,086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-2.14%</w:t>
            </w:r>
          </w:p>
        </w:tc>
      </w:tr>
      <w:tr w:rsidR="002C3709" w:rsidRPr="002C3709" w:rsidTr="002C3709">
        <w:trPr>
          <w:trHeight w:val="4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ADMINISTRACIÓN Y PRESTACIÓN DE SERVICIOS DE SALUD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875,203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875,212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OTRAS CUENTAS POR PAGAR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C3709" w:rsidRPr="002C3709" w:rsidTr="002C3709">
        <w:trPr>
          <w:trHeight w:val="4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OBLIGACIONES LABORALES Y DE SEGURIDAD SOCIAL INTEGRAL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284,296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290,232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-5,936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-2.05%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SALARIOS Y PRESTACIONES SOCIALES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153,631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157,217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-3,586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-2.28%</w:t>
            </w:r>
          </w:p>
        </w:tc>
      </w:tr>
      <w:tr w:rsidR="002C3709" w:rsidRPr="002C3709" w:rsidTr="002C3709">
        <w:trPr>
          <w:trHeight w:val="4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PENSIONES Y PRESTACIONES ECONÓMICAS POR PAGAR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130,665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133,015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-2,350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-1.77%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PASIVOS ESTIMADOS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13,801,787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19,612,820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-5,811,033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-29.63%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CONTINGENCIAS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136,408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136,408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PRESTACIONES SOCIALES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331,674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318,640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13,034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4.09%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PENSIONES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13,333,705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19,294,180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-5,960,475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-30.89%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PASIVOS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405,719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366,751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38,968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10.63%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RECAUDOS A FAVOR DE TERCEROS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182,370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193,275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-10,905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-5.64%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RECIBIDOS POR ANTICIPADO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25,011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17,298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7,713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44.59%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ANTICIPO DE IMPUESTOS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198,338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156,178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42,160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26.99%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PATRIMONIO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24,935,656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18,363,566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6,572,090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35.79%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HACIENDA PÚBLICA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24,935,656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18,363,566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6,572,090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35.79%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CAPITAL FISCAL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13,359,621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12,569,379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790,242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6.29%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RESULTADO DEL EJERCICIO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6,823,161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790,929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6,032,232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762.68%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SUPERÁVIT POR VALORIZACIÓN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1,332,773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1,332,773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SUPERÁVIT POR DONACIÓN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6,688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6,688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C3709" w:rsidRPr="002C3709" w:rsidTr="002C3709">
        <w:trPr>
          <w:trHeight w:val="2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PATRIMONIO PÚBLICO INCORPORADO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4,523,960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4,523,960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C3709" w:rsidRPr="002C3709" w:rsidTr="002C3709">
        <w:trPr>
          <w:trHeight w:val="4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PROVISIONES, AGOTAMIENTO, DEPRECIACIONES Y AMORTIZACIONES (DB)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-1,110,547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-860,163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-250,384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709" w:rsidRPr="002C3709" w:rsidRDefault="002C3709" w:rsidP="002C37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C37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29.11%</w:t>
            </w:r>
          </w:p>
        </w:tc>
      </w:tr>
    </w:tbl>
    <w:p w:rsidR="0067758A" w:rsidRDefault="0067758A" w:rsidP="0067758A"/>
    <w:p w:rsidR="002C3709" w:rsidRDefault="007D35EC" w:rsidP="007D35EC">
      <w:pPr>
        <w:spacing w:before="0" w:after="0"/>
        <w:jc w:val="both"/>
      </w:pPr>
      <w:r>
        <w:t>La administración municipal del Guamo en</w:t>
      </w:r>
      <w:r w:rsidR="00574353">
        <w:t xml:space="preserve"> el cuadro de análisis horizontal entre las vigencias 2015 - 2014</w:t>
      </w:r>
      <w:r>
        <w:t>, refleja un aumento en sus activos de tan solo el 0.70%, los Pasivos un Disminución del 21.81% y el Patrimonio un incremento del 35.79%, comparado con lo registrado en a vigencia 2014.</w:t>
      </w:r>
    </w:p>
    <w:p w:rsidR="007D35EC" w:rsidRDefault="007D35EC" w:rsidP="007D35EC">
      <w:pPr>
        <w:spacing w:before="0" w:after="0"/>
        <w:jc w:val="both"/>
      </w:pPr>
    </w:p>
    <w:p w:rsidR="007D35EC" w:rsidRDefault="007D35EC" w:rsidP="007D35EC">
      <w:pPr>
        <w:spacing w:before="0" w:after="0"/>
        <w:jc w:val="both"/>
      </w:pPr>
      <w:r>
        <w:t>En el grupo de los  Activos, cuentas como el efectivo registra una disminución del 24.14%, que en términos reales equivale a $805.529 miles y la Propiedad Planta y Equipo</w:t>
      </w:r>
      <w:r w:rsidR="007D1CDB">
        <w:t xml:space="preserve"> redujo su saldo </w:t>
      </w:r>
      <w:r w:rsidR="00574353">
        <w:t>e</w:t>
      </w:r>
      <w:r w:rsidR="007D1CDB">
        <w:t>n el 2.12%.</w:t>
      </w:r>
    </w:p>
    <w:p w:rsidR="007D1CDB" w:rsidRDefault="007D1CDB" w:rsidP="007D35EC">
      <w:pPr>
        <w:spacing w:before="0" w:after="0"/>
        <w:jc w:val="both"/>
      </w:pPr>
    </w:p>
    <w:p w:rsidR="007D1CDB" w:rsidRDefault="007D1CDB" w:rsidP="007D35EC">
      <w:pPr>
        <w:spacing w:before="0" w:after="0"/>
        <w:jc w:val="both"/>
      </w:pPr>
      <w:r>
        <w:t>Por otra parte, las Rentas por Cobrar crecieron el 4.13%, es decir la suma de $255.440 miles, al pasar de un valor en el 2014 de $6.178.467 miles, a la suma de $6.433.907 en el 2015;  la cuenta Deudores creció a una tasa del 11.39% y los Otros Activos también crecieron el 2.55%.</w:t>
      </w:r>
    </w:p>
    <w:p w:rsidR="007D1CDB" w:rsidRDefault="007D1CDB" w:rsidP="007D35EC">
      <w:pPr>
        <w:spacing w:before="0" w:after="0"/>
        <w:jc w:val="both"/>
      </w:pPr>
    </w:p>
    <w:p w:rsidR="007D1CDB" w:rsidRDefault="00574353" w:rsidP="007D35EC">
      <w:pPr>
        <w:spacing w:before="0" w:after="0"/>
        <w:jc w:val="both"/>
      </w:pPr>
      <w:r>
        <w:t xml:space="preserve">Para el grupo del Pasivo, el </w:t>
      </w:r>
      <w:r w:rsidR="00160FE0">
        <w:t>análisis</w:t>
      </w:r>
      <w:r>
        <w:t xml:space="preserve"> horizontal nos muestra que tuvieron una disminución dl 21.81%, que de un saldo a diciembre de 2014 por la suma de $</w:t>
      </w:r>
      <w:r w:rsidR="00160FE0">
        <w:t xml:space="preserve">28.615.729 miles, paso </w:t>
      </w:r>
      <w:r w:rsidR="00160FE0">
        <w:lastRenderedPageBreak/>
        <w:t>en el 2015 a la suma de $22.373.209 miles, es decir una variación absoluta de $-6.242.520.</w:t>
      </w:r>
    </w:p>
    <w:p w:rsidR="00160FE0" w:rsidRDefault="00160FE0" w:rsidP="007D35EC">
      <w:pPr>
        <w:spacing w:before="0" w:after="0"/>
        <w:jc w:val="both"/>
      </w:pPr>
    </w:p>
    <w:p w:rsidR="00160FE0" w:rsidRDefault="00160FE0" w:rsidP="007D35EC">
      <w:pPr>
        <w:spacing w:before="0" w:after="0"/>
        <w:jc w:val="both"/>
      </w:pPr>
      <w:r>
        <w:t>La reducción en el Pasivo, obedece principalmente a que los Pasivos Estimados se redujeron el 29.63% comparado con la vigencia 2014, lo que significa que de un saldo de $19.612.820 miles, paso a un valor de $13.801.787 en el 2015, dicha disminución se presentó el subcuenta Provisión para Pensiones.</w:t>
      </w:r>
    </w:p>
    <w:p w:rsidR="00160FE0" w:rsidRDefault="00160FE0" w:rsidP="007D35EC">
      <w:pPr>
        <w:spacing w:before="0" w:after="0"/>
        <w:jc w:val="both"/>
      </w:pPr>
    </w:p>
    <w:p w:rsidR="00160FE0" w:rsidRDefault="00160FE0" w:rsidP="007D35EC">
      <w:pPr>
        <w:spacing w:before="0" w:after="0"/>
        <w:jc w:val="both"/>
      </w:pPr>
      <w:r>
        <w:t>Por el contrario cuentas como las Por Pagar, registran incrementos del 4.64%, y los Otros Pasivos el 10.63%.</w:t>
      </w:r>
    </w:p>
    <w:p w:rsidR="00160FE0" w:rsidRDefault="00160FE0" w:rsidP="007D35EC">
      <w:pPr>
        <w:spacing w:before="0" w:after="0"/>
        <w:jc w:val="both"/>
      </w:pPr>
    </w:p>
    <w:p w:rsidR="00160FE0" w:rsidRDefault="00160FE0" w:rsidP="007D35EC">
      <w:pPr>
        <w:spacing w:before="0" w:after="0"/>
        <w:jc w:val="both"/>
      </w:pPr>
      <w:r>
        <w:t xml:space="preserve">Finalmente, para el estado financiero analizado, el Grupo del Patrimonio presenta un crecimiento del 35.79%, generado exclusivamente por la subcuenta Resultados del Ejercicio quien refleja un incremento del 762.68%, es decir la suma de </w:t>
      </w:r>
      <w:r w:rsidR="00815BFE">
        <w:t>$</w:t>
      </w:r>
      <w:r w:rsidR="00815BFE" w:rsidRPr="00815BFE">
        <w:rPr>
          <w:rFonts w:ascii="Tahoma" w:eastAsia="Times New Roman" w:hAnsi="Tahoma" w:cs="Tahoma"/>
          <w:color w:val="auto"/>
        </w:rPr>
        <w:t>6,032,232</w:t>
      </w:r>
      <w:r w:rsidR="00815BFE">
        <w:rPr>
          <w:rFonts w:ascii="Tahoma" w:eastAsia="Times New Roman" w:hAnsi="Tahoma" w:cs="Tahoma"/>
          <w:color w:val="auto"/>
        </w:rPr>
        <w:t xml:space="preserve"> miles, en términos absolutos.</w:t>
      </w:r>
    </w:p>
    <w:p w:rsidR="00324EE5" w:rsidRDefault="00324EE5" w:rsidP="007D35EC">
      <w:pPr>
        <w:spacing w:before="0" w:after="0"/>
        <w:jc w:val="both"/>
        <w:rPr>
          <w:rFonts w:ascii="Tahoma" w:hAnsi="Tahoma" w:cs="Tahoma"/>
        </w:rPr>
      </w:pPr>
    </w:p>
    <w:p w:rsidR="00324EE5" w:rsidRDefault="00324EE5" w:rsidP="007D35EC">
      <w:pPr>
        <w:spacing w:before="0" w:after="0"/>
        <w:jc w:val="both"/>
        <w:rPr>
          <w:rFonts w:ascii="Tahoma" w:hAnsi="Tahoma" w:cs="Tahoma"/>
        </w:rPr>
      </w:pPr>
    </w:p>
    <w:p w:rsidR="00815BFE" w:rsidRDefault="00815BFE" w:rsidP="007D35EC">
      <w:pPr>
        <w:spacing w:before="0" w:after="0"/>
        <w:jc w:val="both"/>
        <w:rPr>
          <w:rFonts w:ascii="Tahoma" w:hAnsi="Tahoma" w:cs="Tahoma"/>
        </w:rPr>
      </w:pPr>
    </w:p>
    <w:p w:rsidR="00815BFE" w:rsidRDefault="00815BFE" w:rsidP="007D35EC">
      <w:pPr>
        <w:spacing w:before="0" w:after="0"/>
        <w:jc w:val="both"/>
        <w:rPr>
          <w:rFonts w:ascii="Tahoma" w:hAnsi="Tahoma" w:cs="Tahoma"/>
        </w:rPr>
      </w:pPr>
    </w:p>
    <w:p w:rsidR="00324EE5" w:rsidRDefault="00324EE5" w:rsidP="007D35EC">
      <w:pPr>
        <w:spacing w:before="0" w:after="0"/>
        <w:jc w:val="both"/>
        <w:rPr>
          <w:rFonts w:ascii="Tahoma" w:hAnsi="Tahoma" w:cs="Tahoma"/>
        </w:rPr>
      </w:pPr>
    </w:p>
    <w:p w:rsidR="00324EE5" w:rsidRDefault="002C3709" w:rsidP="00040509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inline distT="0" distB="0" distL="0" distR="0" wp14:anchorId="2302690F">
            <wp:extent cx="5377180" cy="28956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7180" cy="289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4E2D" w:rsidRDefault="000A4E2D" w:rsidP="00A1087C">
      <w:pPr>
        <w:spacing w:before="0" w:after="0"/>
        <w:jc w:val="both"/>
        <w:rPr>
          <w:rFonts w:ascii="Tahoma" w:hAnsi="Tahoma" w:cs="Tahoma"/>
        </w:rPr>
      </w:pPr>
    </w:p>
    <w:p w:rsidR="00BC5D7D" w:rsidRDefault="00BC5D7D" w:rsidP="000A5F72">
      <w:pPr>
        <w:spacing w:before="0" w:after="0"/>
      </w:pPr>
    </w:p>
    <w:p w:rsidR="00EA5410" w:rsidRDefault="00EA5410" w:rsidP="000A5F72">
      <w:pPr>
        <w:spacing w:before="0" w:after="0"/>
      </w:pPr>
    </w:p>
    <w:p w:rsidR="00EA5410" w:rsidRDefault="00EA5410" w:rsidP="000A5F72">
      <w:pPr>
        <w:spacing w:before="0" w:after="0"/>
      </w:pPr>
    </w:p>
    <w:p w:rsidR="00EA5410" w:rsidRDefault="00EA5410" w:rsidP="000A5F72">
      <w:pPr>
        <w:spacing w:before="0" w:after="0"/>
      </w:pPr>
    </w:p>
    <w:p w:rsidR="00EA5410" w:rsidRDefault="00EA5410" w:rsidP="000A5F72">
      <w:pPr>
        <w:spacing w:before="0" w:after="0"/>
      </w:pPr>
    </w:p>
    <w:p w:rsidR="00AF09B1" w:rsidRDefault="00AF09B1" w:rsidP="000A5F72">
      <w:pPr>
        <w:spacing w:before="0" w:after="0"/>
      </w:pPr>
    </w:p>
    <w:p w:rsidR="00EA5410" w:rsidRDefault="00EA5410" w:rsidP="000A5F72">
      <w:pPr>
        <w:spacing w:before="0" w:after="0"/>
      </w:pPr>
    </w:p>
    <w:p w:rsidR="00EA5410" w:rsidRDefault="00EA5410" w:rsidP="000A5F72">
      <w:pPr>
        <w:spacing w:before="0" w:after="0"/>
      </w:pPr>
    </w:p>
    <w:p w:rsidR="00EA5410" w:rsidRDefault="00EA5410" w:rsidP="000A5F72">
      <w:pPr>
        <w:spacing w:before="0" w:after="0"/>
      </w:pPr>
    </w:p>
    <w:p w:rsidR="00BC5D7D" w:rsidRPr="00BC5D7D" w:rsidRDefault="00BC5D7D" w:rsidP="00BC5D7D">
      <w:pPr>
        <w:pStyle w:val="Prrafodelista"/>
        <w:numPr>
          <w:ilvl w:val="0"/>
          <w:numId w:val="50"/>
        </w:numPr>
        <w:rPr>
          <w:b/>
        </w:rPr>
      </w:pPr>
      <w:r w:rsidRPr="00BC5D7D">
        <w:rPr>
          <w:rFonts w:ascii="Tahoma" w:hAnsi="Tahoma" w:cs="Tahoma"/>
          <w:b/>
        </w:rPr>
        <w:t xml:space="preserve">ESTADO DE ACTIVIDAD FINANCIERA, ECONÓMICA, SOCIAL </w:t>
      </w:r>
    </w:p>
    <w:p w:rsidR="00BC5D7D" w:rsidRDefault="00BC5D7D" w:rsidP="0067758A">
      <w:pPr>
        <w:rPr>
          <w:noProof/>
        </w:rPr>
      </w:pPr>
    </w:p>
    <w:tbl>
      <w:tblPr>
        <w:tblW w:w="991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35"/>
        <w:gridCol w:w="1350"/>
        <w:gridCol w:w="1440"/>
        <w:gridCol w:w="1350"/>
        <w:gridCol w:w="1440"/>
      </w:tblGrid>
      <w:tr w:rsidR="00815BFE" w:rsidRPr="00815BFE" w:rsidTr="00815BFE">
        <w:trPr>
          <w:trHeight w:val="300"/>
        </w:trPr>
        <w:tc>
          <w:tcPr>
            <w:tcW w:w="9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</w:pPr>
            <w:r w:rsidRPr="00815BFE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>ALCALDÍA MUNICIPAL DE EL GUAMO</w:t>
            </w:r>
          </w:p>
        </w:tc>
      </w:tr>
      <w:tr w:rsidR="00815BFE" w:rsidRPr="00815BFE" w:rsidTr="00815BFE">
        <w:trPr>
          <w:trHeight w:val="285"/>
        </w:trPr>
        <w:tc>
          <w:tcPr>
            <w:tcW w:w="9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</w:rPr>
            </w:pPr>
            <w:r w:rsidRPr="00815BFE">
              <w:rPr>
                <w:rFonts w:ascii="Tahoma" w:eastAsia="Times New Roman" w:hAnsi="Tahoma" w:cs="Tahoma"/>
                <w:color w:val="auto"/>
              </w:rPr>
              <w:t>Estado de Actividad Financiera, Económica y Social Comparativo 2015 - 2014</w:t>
            </w:r>
          </w:p>
        </w:tc>
      </w:tr>
      <w:tr w:rsidR="00815BFE" w:rsidRPr="00815BFE" w:rsidTr="00815BFE">
        <w:trPr>
          <w:trHeight w:val="270"/>
        </w:trPr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 w:rsidRPr="00815BFE">
              <w:rPr>
                <w:rFonts w:eastAsia="Times New Roman"/>
                <w:color w:val="auto"/>
                <w:sz w:val="20"/>
                <w:szCs w:val="20"/>
              </w:rPr>
              <w:t>miles $</w:t>
            </w:r>
          </w:p>
        </w:tc>
      </w:tr>
      <w:tr w:rsidR="00815BFE" w:rsidRPr="00815BFE" w:rsidTr="00815BFE">
        <w:trPr>
          <w:trHeight w:val="780"/>
        </w:trPr>
        <w:tc>
          <w:tcPr>
            <w:tcW w:w="433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963634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963634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- 2015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963634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- 2014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963634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ABSOLUTA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963634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RELATIVA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INGRESOS 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33,442,607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21,107,360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12,335,247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58.44%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INGRESOS FISCALES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6,109,129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5,758,127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351,002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6.10%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TRIBUTARIOS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4,845,111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4,679,185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165,926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3.55%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NO TRIBUTARIOS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1,264,018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1,198,631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65,387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5.46%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TRANSFERENCIAS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20,722,098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14,561,828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6,160,270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42.30%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SISTEMA GENERAL DE PARTICIPACIONES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8,984,088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6,921,457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2,062,631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29.80%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PARTICIPACIÓN PARA SALUD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5,734,459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3,229,974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2,504,485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77.54%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PARTICIPACIÓN PARA EDUCACIÓN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718,812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669,088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49,724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7.43%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PARTICIPACIÓN PARA PROPÓSITO GENERAL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990,286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969,234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21,052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2.17%</w:t>
            </w:r>
          </w:p>
        </w:tc>
      </w:tr>
      <w:tr w:rsidR="00815BFE" w:rsidRPr="00815BFE" w:rsidTr="00815BFE">
        <w:trPr>
          <w:trHeight w:val="76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PARTICIPACIÓN PARA PENSIONES - FONDO NACIONAL DE PENSIONES DE LAS ENTIDADES TERRITORIALES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338,732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-338,732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-100.00%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PROGRAMAS DE ALIMENTACIÓN ESCOLAR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126,511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115,274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11,237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9.75%</w:t>
            </w:r>
          </w:p>
        </w:tc>
      </w:tr>
      <w:tr w:rsidR="00815BFE" w:rsidRPr="00815BFE" w:rsidTr="00815BFE">
        <w:trPr>
          <w:trHeight w:val="510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MUNICIPIOS Y DISTRITOS CON RIBERA SOBRE EL RÍO GRANDE DE LA MAGDALENA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85,509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80,170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5,339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6.66%</w:t>
            </w:r>
          </w:p>
        </w:tc>
      </w:tr>
      <w:tr w:rsidR="00815BFE" w:rsidRPr="00815BFE" w:rsidTr="00815BFE">
        <w:trPr>
          <w:trHeight w:val="510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PARTICIPACIÓN PARA AGUA POTABLE Y SANEAMIENTO BÁSICO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1,212,929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1,518,985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-306,056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-20.15%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ATENCIÓN INTEGRAL A LA PRIMERA INFANCIA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115,582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115,582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100.00%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SISTEMA GENERAL DE REGALÍAS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1,140,176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1,129,727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10,449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0.92%</w:t>
            </w:r>
          </w:p>
        </w:tc>
      </w:tr>
      <w:tr w:rsidR="00815BFE" w:rsidRPr="00815BFE" w:rsidTr="00815BFE">
        <w:trPr>
          <w:trHeight w:val="510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SISTEMA  GENERAL DE SEGURIDAD SOCIAL EN SALUD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7,403,395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3,978,254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3,425,141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86.10%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OTRAS TRANSFERENCIAS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3,194,439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2,532,390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662,049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26.14%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OTROS INGRESOS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6,611,380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787,405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5,823,975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739.64%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lastRenderedPageBreak/>
              <w:t xml:space="preserve">FINANCIEROS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83,296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95,342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-12,046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-12.63%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OTROS INGRESOS ORDINARIOS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50,571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50,571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100.00%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EXTRAORDINARIOS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4,974,616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112,535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4,862,081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4320.51%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AJUSTE DE EJERCICIOS ANTERIORES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1,502,897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579,528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923,369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159.33%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GASTOS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26,619,446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20,316,431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6,303,015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31.02%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DE ADMINISTRACIÓN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2,776,236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2,166,089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610,147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28.17%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SUELDOS Y SALARIOS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1,650,092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1,450,422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199,670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13.77%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CONTRIBUCIONES EFECTIVAS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204,370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159,387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44,983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28.22%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APORTES SOBRE LA NÓMINA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41,760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35,151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6,609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18.80%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GENERALES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874,543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520,787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353,756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67.93%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IMPUESTOS, CONTRIBUCIONES Y TASAS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5,471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342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5,129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1499.71%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DE OPERACIÓN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19,244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7,324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11,920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162.75%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SUELDOS Y SALARIOS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19,244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7,324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11,920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162.75%</w:t>
            </w:r>
          </w:p>
        </w:tc>
      </w:tr>
      <w:tr w:rsidR="00815BFE" w:rsidRPr="00815BFE" w:rsidTr="00815BFE">
        <w:trPr>
          <w:trHeight w:val="510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PROVISIONES, DEPRECIACIONES Y AMORTIZACIONES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136,408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136,408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100.00%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PROVISIÓN PARA CONTINGENCIAS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136,408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136,408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100.00%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TRANSFERENCIAS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605,357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476,095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129,262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27.15%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OTRAS TRANSFERENCIAS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605,357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476,095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129,262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27.15%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GASTO PÚBLICO SOCIAL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22,365,842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17,148,097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5,217,745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30.43%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EDUCACIÓN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1,290,908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1,030,682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260,226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25.25%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SALUD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14,602,286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7,787,669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6,814,617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87.51%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AGUA POTABLE Y SANEAMIENTO BÀSICO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676,817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1,019,944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-343,127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-33.64%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RECREACIÓN Y DEPORTE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331,306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331,306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100.00%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CULTURA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695,371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664,267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31,104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4.68%</w:t>
            </w:r>
          </w:p>
        </w:tc>
      </w:tr>
      <w:tr w:rsidR="00815BFE" w:rsidRPr="00815BFE" w:rsidTr="00815BFE">
        <w:trPr>
          <w:trHeight w:val="510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DESARROLLO COMUNITARIO Y BIENESTAR SOCIAL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4,178,461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6,134,170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-1,955,709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-31.88%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MEDIO AMBIENTE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169,559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102,502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67,057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65.42%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SUBSIDIOS ASIGNADOS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421,134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367,394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53,740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14.63%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OTROS GASTOS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716,359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518,826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197,533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38.07%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INTERESES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11,956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15,992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-4,036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-25.24%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COMISIONES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11,345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6,811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4,534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66.57%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FINANCIEROS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215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36.74%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OTROS GASTOS ORDINARIOS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49,173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52,033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-2,860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-5.50%</w:t>
            </w:r>
          </w:p>
        </w:tc>
      </w:tr>
      <w:tr w:rsidR="00815BFE" w:rsidRPr="00815BFE" w:rsidTr="00815BFE">
        <w:trPr>
          <w:trHeight w:val="255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EXTRAORDINARIOS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2,913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230,019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-227,106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-98.73%</w:t>
            </w:r>
          </w:p>
        </w:tc>
      </w:tr>
      <w:tr w:rsidR="00815BFE" w:rsidRPr="00815BFE" w:rsidTr="00815BFE">
        <w:trPr>
          <w:trHeight w:val="270"/>
        </w:trPr>
        <w:tc>
          <w:tcPr>
            <w:tcW w:w="43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AJUSTE DE EJERCICIOS ANTERIORES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640,678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213,756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426,922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15BFE" w:rsidRPr="00815BFE" w:rsidRDefault="00815BFE" w:rsidP="00815BF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815BF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199.72%</w:t>
            </w:r>
          </w:p>
        </w:tc>
      </w:tr>
    </w:tbl>
    <w:p w:rsidR="00FD731B" w:rsidRDefault="00FD731B" w:rsidP="0067758A"/>
    <w:p w:rsidR="00BC5D7D" w:rsidRDefault="00BC5D7D" w:rsidP="00814D3D">
      <w:pPr>
        <w:spacing w:before="0" w:after="0"/>
      </w:pPr>
    </w:p>
    <w:p w:rsidR="00C1024D" w:rsidRDefault="00630301" w:rsidP="00FD731B">
      <w:pPr>
        <w:spacing w:before="0" w:after="0"/>
        <w:jc w:val="both"/>
        <w:rPr>
          <w:rFonts w:ascii="Tahoma" w:hAnsi="Tahoma" w:cs="Tahoma"/>
        </w:rPr>
      </w:pPr>
      <w:r w:rsidRPr="00814D3D">
        <w:rPr>
          <w:rFonts w:ascii="Tahoma" w:hAnsi="Tahoma" w:cs="Tahoma"/>
        </w:rPr>
        <w:lastRenderedPageBreak/>
        <w:t>Con respecto al Estado de Actividad Financiera, podemos concluir que para la vigencia 201</w:t>
      </w:r>
      <w:r w:rsidR="00FD731B">
        <w:rPr>
          <w:rFonts w:ascii="Tahoma" w:hAnsi="Tahoma" w:cs="Tahoma"/>
        </w:rPr>
        <w:t>5</w:t>
      </w:r>
      <w:r w:rsidRPr="00814D3D">
        <w:rPr>
          <w:rFonts w:ascii="Tahoma" w:hAnsi="Tahoma" w:cs="Tahoma"/>
        </w:rPr>
        <w:t xml:space="preserve"> los ingresos tuvieron un </w:t>
      </w:r>
      <w:r w:rsidR="00FD731B">
        <w:rPr>
          <w:rFonts w:ascii="Tahoma" w:hAnsi="Tahoma" w:cs="Tahoma"/>
        </w:rPr>
        <w:t>aumento</w:t>
      </w:r>
      <w:r w:rsidRPr="00814D3D">
        <w:rPr>
          <w:rFonts w:ascii="Tahoma" w:hAnsi="Tahoma" w:cs="Tahoma"/>
        </w:rPr>
        <w:t xml:space="preserve"> de</w:t>
      </w:r>
      <w:r w:rsidR="00815BFE">
        <w:rPr>
          <w:rFonts w:ascii="Tahoma" w:hAnsi="Tahoma" w:cs="Tahoma"/>
        </w:rPr>
        <w:t>l</w:t>
      </w:r>
      <w:r w:rsidR="00B47B96">
        <w:rPr>
          <w:rFonts w:ascii="Tahoma" w:hAnsi="Tahoma" w:cs="Tahoma"/>
        </w:rPr>
        <w:t xml:space="preserve"> </w:t>
      </w:r>
      <w:r w:rsidR="00815BFE">
        <w:rPr>
          <w:rFonts w:ascii="Tahoma" w:hAnsi="Tahoma" w:cs="Tahoma"/>
        </w:rPr>
        <w:t>58.44</w:t>
      </w:r>
      <w:r w:rsidR="00B47B96">
        <w:rPr>
          <w:rFonts w:ascii="Tahoma" w:hAnsi="Tahoma" w:cs="Tahoma"/>
        </w:rPr>
        <w:t>%</w:t>
      </w:r>
      <w:r w:rsidR="00FD731B">
        <w:rPr>
          <w:rFonts w:ascii="Tahoma" w:hAnsi="Tahoma" w:cs="Tahoma"/>
        </w:rPr>
        <w:t xml:space="preserve"> y los Gastos por su parte, también </w:t>
      </w:r>
      <w:r w:rsidR="00C1024D">
        <w:rPr>
          <w:rFonts w:ascii="Tahoma" w:hAnsi="Tahoma" w:cs="Tahoma"/>
        </w:rPr>
        <w:t xml:space="preserve">incrementaron su valor en un una proporción del </w:t>
      </w:r>
      <w:r w:rsidR="00B47B96">
        <w:rPr>
          <w:rFonts w:ascii="Tahoma" w:hAnsi="Tahoma" w:cs="Tahoma"/>
        </w:rPr>
        <w:t>3</w:t>
      </w:r>
      <w:r w:rsidR="00815BFE">
        <w:rPr>
          <w:rFonts w:ascii="Tahoma" w:hAnsi="Tahoma" w:cs="Tahoma"/>
        </w:rPr>
        <w:t>1</w:t>
      </w:r>
      <w:r w:rsidR="00B47B96">
        <w:rPr>
          <w:rFonts w:ascii="Tahoma" w:hAnsi="Tahoma" w:cs="Tahoma"/>
        </w:rPr>
        <w:t>.</w:t>
      </w:r>
      <w:r w:rsidR="00815BFE">
        <w:rPr>
          <w:rFonts w:ascii="Tahoma" w:hAnsi="Tahoma" w:cs="Tahoma"/>
        </w:rPr>
        <w:t>02</w:t>
      </w:r>
      <w:r w:rsidR="00C1024D">
        <w:rPr>
          <w:rFonts w:ascii="Tahoma" w:hAnsi="Tahoma" w:cs="Tahoma"/>
        </w:rPr>
        <w:t>%.</w:t>
      </w:r>
    </w:p>
    <w:p w:rsidR="00C1024D" w:rsidRDefault="00C1024D" w:rsidP="00FD731B">
      <w:pPr>
        <w:spacing w:before="0" w:after="0"/>
        <w:jc w:val="both"/>
        <w:rPr>
          <w:rFonts w:ascii="Tahoma" w:hAnsi="Tahoma" w:cs="Tahoma"/>
        </w:rPr>
      </w:pPr>
    </w:p>
    <w:p w:rsidR="00301C13" w:rsidRDefault="00C1024D" w:rsidP="00FD731B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Dentro de los ingresos tenemos que los Tributarios incrementaron su recaudo en la suma de $</w:t>
      </w:r>
      <w:r w:rsidR="00815BFE">
        <w:rPr>
          <w:rFonts w:ascii="Tahoma" w:hAnsi="Tahoma" w:cs="Tahoma"/>
        </w:rPr>
        <w:t>165.925</w:t>
      </w:r>
      <w:r>
        <w:rPr>
          <w:rFonts w:ascii="Tahoma" w:hAnsi="Tahoma" w:cs="Tahoma"/>
        </w:rPr>
        <w:t xml:space="preserve"> (miles de $) con respecto a la vigencia 2014</w:t>
      </w:r>
      <w:r w:rsidR="00301C13">
        <w:rPr>
          <w:rFonts w:ascii="Tahoma" w:hAnsi="Tahoma" w:cs="Tahoma"/>
        </w:rPr>
        <w:t xml:space="preserve">, es decir un incremento del </w:t>
      </w:r>
      <w:r w:rsidR="00815BFE">
        <w:rPr>
          <w:rFonts w:ascii="Tahoma" w:hAnsi="Tahoma" w:cs="Tahoma"/>
        </w:rPr>
        <w:t>3.55%</w:t>
      </w:r>
      <w:r w:rsidR="00301C13">
        <w:rPr>
          <w:rFonts w:ascii="Tahoma" w:hAnsi="Tahoma" w:cs="Tahoma"/>
        </w:rPr>
        <w:t>. Así mismo, los Ingresos no Tributarios con</w:t>
      </w:r>
      <w:r w:rsidR="00815BFE">
        <w:rPr>
          <w:rFonts w:ascii="Tahoma" w:hAnsi="Tahoma" w:cs="Tahoma"/>
        </w:rPr>
        <w:t xml:space="preserve"> crecieron </w:t>
      </w:r>
      <w:r w:rsidR="00301C13">
        <w:rPr>
          <w:rFonts w:ascii="Tahoma" w:hAnsi="Tahoma" w:cs="Tahoma"/>
        </w:rPr>
        <w:t xml:space="preserve">el </w:t>
      </w:r>
      <w:r w:rsidR="00815BFE">
        <w:rPr>
          <w:rFonts w:ascii="Tahoma" w:hAnsi="Tahoma" w:cs="Tahoma"/>
        </w:rPr>
        <w:t>5.46</w:t>
      </w:r>
      <w:r w:rsidR="00301C13">
        <w:rPr>
          <w:rFonts w:ascii="Tahoma" w:hAnsi="Tahoma" w:cs="Tahoma"/>
        </w:rPr>
        <w:t>% representado en términos reales en la suma de $</w:t>
      </w:r>
      <w:r w:rsidR="0035721F">
        <w:rPr>
          <w:rFonts w:ascii="Tahoma" w:hAnsi="Tahoma" w:cs="Tahoma"/>
        </w:rPr>
        <w:t>65.387</w:t>
      </w:r>
      <w:r w:rsidR="00301C13">
        <w:rPr>
          <w:rFonts w:ascii="Tahoma" w:hAnsi="Tahoma" w:cs="Tahoma"/>
        </w:rPr>
        <w:t xml:space="preserve"> (miles de $).</w:t>
      </w:r>
    </w:p>
    <w:p w:rsidR="00301C13" w:rsidRDefault="00301C13" w:rsidP="00FD731B">
      <w:pPr>
        <w:spacing w:before="0" w:after="0"/>
        <w:jc w:val="both"/>
        <w:rPr>
          <w:rFonts w:ascii="Tahoma" w:hAnsi="Tahoma" w:cs="Tahoma"/>
        </w:rPr>
      </w:pPr>
    </w:p>
    <w:p w:rsidR="0035721F" w:rsidRDefault="0035721F" w:rsidP="00FD731B">
      <w:pPr>
        <w:spacing w:before="0" w:after="0"/>
        <w:jc w:val="both"/>
        <w:rPr>
          <w:rFonts w:ascii="Tahoma" w:hAnsi="Tahoma" w:cs="Tahoma"/>
        </w:rPr>
      </w:pPr>
    </w:p>
    <w:p w:rsidR="0035721F" w:rsidRDefault="0035721F" w:rsidP="00FD731B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Los ingresos por Transferencias, principalmente las del Sistema General de Participaciones registran un crecimiento del 29.80%, es asi como la Participación para Salud creció el 77.54%, Educación el 7.43%, Propósito General el 2.17%, Programas de Alimentación Escolar el 9.75%; por el contrario la Participación para Agua Potable y Saneamiento Básico disminuyo su asignación en el 20.15% y la Participación para Pensiones – FOPEP se redujo en el 100%</w:t>
      </w:r>
    </w:p>
    <w:p w:rsidR="0035721F" w:rsidRDefault="0035721F" w:rsidP="00FD731B">
      <w:pPr>
        <w:spacing w:before="0" w:after="0"/>
        <w:jc w:val="both"/>
        <w:rPr>
          <w:rFonts w:ascii="Tahoma" w:hAnsi="Tahoma" w:cs="Tahoma"/>
        </w:rPr>
      </w:pPr>
    </w:p>
    <w:p w:rsidR="004E4A95" w:rsidRDefault="004E4A95" w:rsidP="00FD731B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Por otra parte, los Gastos durante el periodo 2015, sufrieron un crecimiento del 31.02%, es decir la suma de $6.303.015, comparado con lo registrado en el 2014.</w:t>
      </w:r>
    </w:p>
    <w:p w:rsidR="004E4A95" w:rsidRDefault="004E4A95" w:rsidP="00FD731B">
      <w:pPr>
        <w:spacing w:before="0" w:after="0"/>
        <w:jc w:val="both"/>
        <w:rPr>
          <w:rFonts w:ascii="Tahoma" w:hAnsi="Tahoma" w:cs="Tahoma"/>
        </w:rPr>
      </w:pPr>
    </w:p>
    <w:p w:rsidR="004E4A95" w:rsidRDefault="004E4A95" w:rsidP="00FD731B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Es así como, los gastos de administración se incrementaron el 28.22%, dentro de los </w:t>
      </w:r>
      <w:r w:rsidR="00CC6A4F">
        <w:rPr>
          <w:rFonts w:ascii="Tahoma" w:hAnsi="Tahoma" w:cs="Tahoma"/>
        </w:rPr>
        <w:t>cuales</w:t>
      </w:r>
      <w:r>
        <w:rPr>
          <w:rFonts w:ascii="Tahoma" w:hAnsi="Tahoma" w:cs="Tahoma"/>
        </w:rPr>
        <w:t xml:space="preserve"> el </w:t>
      </w:r>
      <w:r w:rsidR="00CC6A4F">
        <w:rPr>
          <w:rFonts w:ascii="Tahoma" w:hAnsi="Tahoma" w:cs="Tahoma"/>
        </w:rPr>
        <w:t>más</w:t>
      </w:r>
      <w:r>
        <w:rPr>
          <w:rFonts w:ascii="Tahoma" w:hAnsi="Tahoma" w:cs="Tahoma"/>
        </w:rPr>
        <w:t xml:space="preserve"> representativo por su incremento</w:t>
      </w:r>
      <w:r w:rsidR="00CC6A4F">
        <w:rPr>
          <w:rFonts w:ascii="Tahoma" w:hAnsi="Tahoma" w:cs="Tahoma"/>
        </w:rPr>
        <w:t xml:space="preserve"> fueron los Gastos Generales con el 67.93% una suma de $353.766 miles; de igual forma el Gasto Público Social, nos muestra un crecimiento del 30.43%, cuyos sectores más representativos por el aumento en la inversión son, Salud con el 87.51%, Educación el 25.25%, Recreación y Deporte el 100% y Medio Ambiente con el 65.42%.</w:t>
      </w:r>
    </w:p>
    <w:p w:rsidR="00CC6A4F" w:rsidRDefault="00CC6A4F" w:rsidP="00FD731B">
      <w:pPr>
        <w:spacing w:before="0" w:after="0"/>
        <w:jc w:val="both"/>
        <w:rPr>
          <w:rFonts w:ascii="Tahoma" w:hAnsi="Tahoma" w:cs="Tahoma"/>
        </w:rPr>
      </w:pPr>
    </w:p>
    <w:p w:rsidR="00CC6A4F" w:rsidRDefault="00CC6A4F" w:rsidP="00FD731B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Por el contrario, sectores como Agua Potable y Saneamiento Básico tuvieron tendencia a la baja con el 33.64% y Desarrollo Comunitario y Bienestar Social con el 31.81%, respecto a las cifras reflejadas en el Estado Financiero de la vigencia 2014.</w:t>
      </w:r>
    </w:p>
    <w:p w:rsidR="004E4A95" w:rsidRDefault="004E4A95" w:rsidP="00FD731B">
      <w:pPr>
        <w:spacing w:before="0" w:after="0"/>
        <w:jc w:val="both"/>
        <w:rPr>
          <w:rFonts w:ascii="Tahoma" w:hAnsi="Tahoma" w:cs="Tahoma"/>
        </w:rPr>
      </w:pPr>
    </w:p>
    <w:p w:rsidR="00140794" w:rsidRDefault="00140794" w:rsidP="00FD731B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w:lastRenderedPageBreak/>
        <w:drawing>
          <wp:inline distT="0" distB="0" distL="0" distR="0" wp14:anchorId="616A51D3">
            <wp:extent cx="5414010" cy="331660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3316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0794" w:rsidRDefault="00140794" w:rsidP="00FD731B">
      <w:pPr>
        <w:spacing w:before="0" w:after="0"/>
        <w:jc w:val="both"/>
        <w:rPr>
          <w:rFonts w:ascii="Tahoma" w:hAnsi="Tahoma" w:cs="Tahoma"/>
        </w:rPr>
      </w:pPr>
    </w:p>
    <w:p w:rsidR="00BC5D7D" w:rsidRPr="00F56A4B" w:rsidRDefault="00814D3D" w:rsidP="004C1BE4">
      <w:pPr>
        <w:pStyle w:val="Prrafodelista"/>
        <w:numPr>
          <w:ilvl w:val="0"/>
          <w:numId w:val="50"/>
        </w:numPr>
        <w:spacing w:before="0" w:after="0"/>
        <w:rPr>
          <w:rFonts w:ascii="Tahoma" w:hAnsi="Tahoma" w:cs="Tahoma"/>
          <w:b/>
        </w:rPr>
      </w:pPr>
      <w:r w:rsidRPr="00F56A4B">
        <w:rPr>
          <w:rFonts w:ascii="Tahoma" w:hAnsi="Tahoma" w:cs="Tahoma"/>
          <w:b/>
        </w:rPr>
        <w:t>APLICACIÓN DE INDICADORES FINANCIEROS</w:t>
      </w:r>
    </w:p>
    <w:p w:rsidR="00814D3D" w:rsidRDefault="00814D3D" w:rsidP="004C1BE4">
      <w:pPr>
        <w:spacing w:before="0" w:after="0"/>
        <w:rPr>
          <w:rFonts w:ascii="Tahoma" w:hAnsi="Tahoma" w:cs="Tahoma"/>
        </w:rPr>
      </w:pPr>
    </w:p>
    <w:p w:rsidR="00814D3D" w:rsidRPr="00814D3D" w:rsidRDefault="00814D3D" w:rsidP="004C1BE4">
      <w:pPr>
        <w:pStyle w:val="Prrafodelista"/>
        <w:numPr>
          <w:ilvl w:val="1"/>
          <w:numId w:val="50"/>
        </w:numPr>
        <w:spacing w:before="0" w:after="0"/>
        <w:rPr>
          <w:rFonts w:ascii="Tahoma" w:hAnsi="Tahoma" w:cs="Tahoma"/>
        </w:rPr>
      </w:pPr>
      <w:r w:rsidRPr="00814D3D">
        <w:rPr>
          <w:rFonts w:ascii="Tahoma" w:hAnsi="Tahoma" w:cs="Tahoma"/>
        </w:rPr>
        <w:t>Indicadores de liquidez y Solvencia</w:t>
      </w:r>
    </w:p>
    <w:p w:rsidR="00814D3D" w:rsidRDefault="00814D3D" w:rsidP="004C1BE4">
      <w:pPr>
        <w:spacing w:before="0" w:after="0"/>
        <w:rPr>
          <w:rFonts w:ascii="Tahoma" w:hAnsi="Tahoma" w:cs="Tahoma"/>
        </w:rPr>
      </w:pPr>
    </w:p>
    <w:p w:rsidR="00814D3D" w:rsidRDefault="00160B31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Razón</w:t>
      </w:r>
      <w:r w:rsidR="00814D3D">
        <w:rPr>
          <w:rFonts w:ascii="Tahoma" w:hAnsi="Tahoma" w:cs="Tahoma"/>
        </w:rPr>
        <w:t xml:space="preserve"> Corriente: nos muestra la capacidad que tiene la entidad</w:t>
      </w:r>
      <w:r>
        <w:rPr>
          <w:rFonts w:ascii="Tahoma" w:hAnsi="Tahoma" w:cs="Tahoma"/>
        </w:rPr>
        <w:t xml:space="preserve"> para cubrir sus deudas en el corto plazo, ya que indica por cada peso que debe, con cuantos se cuenta para respaldarlo.</w:t>
      </w:r>
    </w:p>
    <w:p w:rsidR="00160B31" w:rsidRDefault="00160B31" w:rsidP="004C1BE4">
      <w:pPr>
        <w:spacing w:before="0" w:after="0"/>
        <w:jc w:val="both"/>
        <w:rPr>
          <w:rFonts w:ascii="Tahoma" w:hAnsi="Tahoma" w:cs="Tahoma"/>
        </w:rPr>
      </w:pPr>
    </w:p>
    <w:p w:rsidR="004C1BE4" w:rsidRDefault="004C1BE4" w:rsidP="004C1BE4">
      <w:pPr>
        <w:spacing w:before="0" w:after="0"/>
        <w:jc w:val="both"/>
        <w:rPr>
          <w:rFonts w:ascii="Tahoma" w:hAnsi="Tahoma" w:cs="Tahoma"/>
        </w:rPr>
      </w:pPr>
    </w:p>
    <w:p w:rsidR="00160B31" w:rsidRDefault="00160B31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Formula: Activo Corriente / Pasivo Corriente</w:t>
      </w:r>
    </w:p>
    <w:p w:rsidR="00160B31" w:rsidRDefault="00160B31" w:rsidP="004C1BE4">
      <w:pPr>
        <w:spacing w:before="0" w:after="0"/>
        <w:jc w:val="both"/>
        <w:rPr>
          <w:rFonts w:ascii="Tahoma" w:hAnsi="Tahoma" w:cs="Tahoma"/>
        </w:rPr>
      </w:pPr>
    </w:p>
    <w:p w:rsidR="00160B31" w:rsidRDefault="00160B31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Activo Corriente:</w:t>
      </w:r>
    </w:p>
    <w:p w:rsidR="00160B31" w:rsidRDefault="00160B31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Efectivo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$</w:t>
      </w:r>
      <w:r w:rsidR="00F56A4B">
        <w:rPr>
          <w:rFonts w:ascii="Tahoma" w:hAnsi="Tahoma" w:cs="Tahoma"/>
        </w:rPr>
        <w:t xml:space="preserve"> </w:t>
      </w:r>
      <w:r w:rsidR="008336D0">
        <w:rPr>
          <w:rFonts w:ascii="Tahoma" w:hAnsi="Tahoma" w:cs="Tahoma"/>
        </w:rPr>
        <w:t>2.531.593</w:t>
      </w:r>
    </w:p>
    <w:p w:rsidR="00321FA0" w:rsidRDefault="008336D0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Inversiones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1.268</w:t>
      </w:r>
    </w:p>
    <w:p w:rsidR="00160B31" w:rsidRDefault="001666F5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Renta por Cobrar</w:t>
      </w:r>
      <w:r>
        <w:rPr>
          <w:rFonts w:ascii="Tahoma" w:hAnsi="Tahoma" w:cs="Tahoma"/>
        </w:rPr>
        <w:tab/>
        <w:t xml:space="preserve">   </w:t>
      </w:r>
      <w:r w:rsidR="008336D0">
        <w:rPr>
          <w:rFonts w:ascii="Tahoma" w:hAnsi="Tahoma" w:cs="Tahoma"/>
        </w:rPr>
        <w:t>6.433.907</w:t>
      </w:r>
    </w:p>
    <w:p w:rsidR="001666F5" w:rsidRPr="00814D3D" w:rsidRDefault="001666F5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Deudores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F56A4B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 xml:space="preserve"> </w:t>
      </w:r>
      <w:r w:rsidR="008336D0">
        <w:rPr>
          <w:rFonts w:ascii="Tahoma" w:hAnsi="Tahoma" w:cs="Tahoma"/>
        </w:rPr>
        <w:t>8.878.735</w:t>
      </w:r>
    </w:p>
    <w:p w:rsidR="001666F5" w:rsidRDefault="001666F5" w:rsidP="004C1BE4">
      <w:pPr>
        <w:spacing w:before="0" w:after="0"/>
      </w:pPr>
      <w:r>
        <w:tab/>
      </w:r>
      <w:r>
        <w:tab/>
      </w:r>
      <w:r>
        <w:tab/>
        <w:t>----------------</w:t>
      </w: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>
        <w:tab/>
      </w:r>
      <w:r>
        <w:tab/>
      </w:r>
      <w:r>
        <w:tab/>
      </w:r>
      <w:r w:rsidRPr="00895504">
        <w:rPr>
          <w:rFonts w:ascii="Tahoma" w:hAnsi="Tahoma" w:cs="Tahoma"/>
        </w:rPr>
        <w:t>$</w:t>
      </w:r>
      <w:r w:rsidR="008336D0">
        <w:rPr>
          <w:rFonts w:ascii="Tahoma" w:hAnsi="Tahoma" w:cs="Tahoma"/>
        </w:rPr>
        <w:t>17.845.503</w:t>
      </w:r>
    </w:p>
    <w:p w:rsidR="001666F5" w:rsidRDefault="001666F5" w:rsidP="004C1BE4">
      <w:pPr>
        <w:spacing w:before="0" w:after="0"/>
      </w:pP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lastRenderedPageBreak/>
        <w:t>Pasivo Corriente:</w:t>
      </w:r>
    </w:p>
    <w:p w:rsidR="001666F5" w:rsidRPr="00895504" w:rsidRDefault="005E00A8" w:rsidP="004C1BE4">
      <w:p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Cuentas por Pagar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7C5D9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$7.881.407</w:t>
      </w: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>Obligaciones Laborales</w:t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="00895504">
        <w:rPr>
          <w:rFonts w:ascii="Tahoma" w:hAnsi="Tahoma" w:cs="Tahoma"/>
        </w:rPr>
        <w:t xml:space="preserve">               </w:t>
      </w:r>
      <w:r w:rsidR="007C5D90">
        <w:rPr>
          <w:rFonts w:ascii="Tahoma" w:hAnsi="Tahoma" w:cs="Tahoma"/>
        </w:rPr>
        <w:t xml:space="preserve"> </w:t>
      </w:r>
      <w:r w:rsidR="005E00A8">
        <w:rPr>
          <w:rFonts w:ascii="Tahoma" w:hAnsi="Tahoma" w:cs="Tahoma"/>
        </w:rPr>
        <w:t>284.296</w:t>
      </w:r>
      <w:r w:rsid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  <w:t xml:space="preserve"> </w:t>
      </w: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  <w:t>----------------</w:t>
      </w: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="004C1BE4">
        <w:rPr>
          <w:rFonts w:ascii="Tahoma" w:hAnsi="Tahoma" w:cs="Tahoma"/>
        </w:rPr>
        <w:t xml:space="preserve">  </w:t>
      </w:r>
      <w:r w:rsidRPr="00895504">
        <w:rPr>
          <w:rFonts w:ascii="Tahoma" w:hAnsi="Tahoma" w:cs="Tahoma"/>
        </w:rPr>
        <w:t>$</w:t>
      </w:r>
      <w:r w:rsidR="005E00A8">
        <w:rPr>
          <w:rFonts w:ascii="Tahoma" w:hAnsi="Tahoma" w:cs="Tahoma"/>
        </w:rPr>
        <w:t>8.165.703</w:t>
      </w:r>
    </w:p>
    <w:p w:rsidR="001666F5" w:rsidRDefault="001666F5" w:rsidP="004C1BE4">
      <w:pPr>
        <w:spacing w:before="0" w:after="0"/>
      </w:pPr>
    </w:p>
    <w:p w:rsidR="001666F5" w:rsidRDefault="001666F5" w:rsidP="004C1BE4">
      <w:pPr>
        <w:spacing w:before="0" w:after="0"/>
      </w:pPr>
      <w:r>
        <w:t xml:space="preserve">Razón Corriente  </w:t>
      </w:r>
      <w:r w:rsidRPr="00895504">
        <w:rPr>
          <w:rFonts w:ascii="Tahoma" w:hAnsi="Tahoma" w:cs="Tahoma"/>
        </w:rPr>
        <w:t>$</w:t>
      </w:r>
      <w:r w:rsidR="005E00A8">
        <w:rPr>
          <w:rFonts w:ascii="Tahoma" w:hAnsi="Tahoma" w:cs="Tahoma"/>
        </w:rPr>
        <w:t>17.845.503</w:t>
      </w:r>
      <w:r w:rsidRPr="00895504">
        <w:rPr>
          <w:rFonts w:ascii="Tahoma" w:hAnsi="Tahoma" w:cs="Tahoma"/>
        </w:rPr>
        <w:t xml:space="preserve"> /  $</w:t>
      </w:r>
      <w:r w:rsidR="005E00A8">
        <w:rPr>
          <w:rFonts w:ascii="Tahoma" w:hAnsi="Tahoma" w:cs="Tahoma"/>
        </w:rPr>
        <w:t>8.165.703</w:t>
      </w:r>
      <w:r w:rsidR="009E358A">
        <w:rPr>
          <w:rFonts w:ascii="Tahoma" w:hAnsi="Tahoma" w:cs="Tahoma"/>
        </w:rPr>
        <w:t xml:space="preserve"> </w:t>
      </w:r>
      <w:r w:rsidRPr="00895504">
        <w:rPr>
          <w:rFonts w:ascii="Tahoma" w:hAnsi="Tahoma" w:cs="Tahoma"/>
        </w:rPr>
        <w:t xml:space="preserve">= </w:t>
      </w:r>
      <w:r w:rsidR="005E00A8">
        <w:rPr>
          <w:rFonts w:ascii="Tahoma" w:hAnsi="Tahoma" w:cs="Tahoma"/>
        </w:rPr>
        <w:t>2</w:t>
      </w:r>
      <w:r w:rsidR="007C5D90">
        <w:rPr>
          <w:rFonts w:ascii="Tahoma" w:hAnsi="Tahoma" w:cs="Tahoma"/>
        </w:rPr>
        <w:t>.</w:t>
      </w:r>
      <w:r w:rsidR="005E00A8">
        <w:rPr>
          <w:rFonts w:ascii="Tahoma" w:hAnsi="Tahoma" w:cs="Tahoma"/>
        </w:rPr>
        <w:t>18</w:t>
      </w:r>
    </w:p>
    <w:p w:rsidR="00A7456E" w:rsidRDefault="00A7456E" w:rsidP="004C1BE4">
      <w:pPr>
        <w:spacing w:before="0" w:after="0"/>
      </w:pPr>
    </w:p>
    <w:p w:rsidR="00A7456E" w:rsidRDefault="00A7456E" w:rsidP="004C1BE4">
      <w:pPr>
        <w:spacing w:before="0" w:after="0"/>
        <w:jc w:val="both"/>
      </w:pPr>
      <w:r>
        <w:t xml:space="preserve">El anterior resultado nos muestra que por cada peso que la Administración Municipal de </w:t>
      </w:r>
      <w:r w:rsidR="005E00A8">
        <w:t>el Guamo</w:t>
      </w:r>
      <w:r>
        <w:t xml:space="preserve"> debe a corto plazo, cuenta con </w:t>
      </w:r>
      <w:r w:rsidR="005E00A8">
        <w:t>2</w:t>
      </w:r>
      <w:r w:rsidR="007C5D90">
        <w:t>.</w:t>
      </w:r>
      <w:r w:rsidR="005E00A8">
        <w:t>18</w:t>
      </w:r>
      <w:r>
        <w:t xml:space="preserve"> pesos en activos corriente</w:t>
      </w:r>
      <w:r w:rsidR="005E00A8">
        <w:t>s</w:t>
      </w:r>
      <w:r>
        <w:t xml:space="preserve"> para cubrirlos, lo que signifi</w:t>
      </w:r>
      <w:r w:rsidR="00895504">
        <w:t>ca que el mencionado municipio cuenta con</w:t>
      </w:r>
      <w:r>
        <w:t xml:space="preserve"> liquidez suficiente para cubrir sus pasivos </w:t>
      </w:r>
      <w:r w:rsidR="00A44BFD">
        <w:t>a</w:t>
      </w:r>
      <w:r>
        <w:t xml:space="preserve"> corto plazo.</w:t>
      </w:r>
    </w:p>
    <w:p w:rsidR="00396181" w:rsidRDefault="00396181" w:rsidP="004C1BE4">
      <w:pPr>
        <w:spacing w:before="0" w:after="0"/>
        <w:jc w:val="both"/>
      </w:pPr>
    </w:p>
    <w:p w:rsidR="003B2B94" w:rsidRDefault="003B2B94" w:rsidP="004C1BE4">
      <w:pPr>
        <w:spacing w:before="0" w:after="0"/>
        <w:jc w:val="both"/>
      </w:pPr>
    </w:p>
    <w:p w:rsidR="00A7456E" w:rsidRPr="00924723" w:rsidRDefault="00A7456E" w:rsidP="004C1BE4">
      <w:pPr>
        <w:spacing w:before="0" w:after="0"/>
        <w:jc w:val="both"/>
        <w:rPr>
          <w:rFonts w:ascii="Tahoma" w:hAnsi="Tahoma" w:cs="Tahoma"/>
          <w:b/>
        </w:rPr>
      </w:pPr>
      <w:r w:rsidRPr="00924723">
        <w:rPr>
          <w:rFonts w:ascii="Tahoma" w:hAnsi="Tahoma" w:cs="Tahoma"/>
          <w:b/>
        </w:rPr>
        <w:t>CAPITAL NETO DE TRABAJO</w:t>
      </w:r>
    </w:p>
    <w:p w:rsidR="00A7456E" w:rsidRDefault="00A7456E" w:rsidP="004C1BE4">
      <w:pPr>
        <w:spacing w:before="0" w:after="0"/>
        <w:jc w:val="both"/>
      </w:pPr>
    </w:p>
    <w:p w:rsidR="00A7456E" w:rsidRDefault="00A7456E" w:rsidP="004C1BE4">
      <w:pPr>
        <w:spacing w:before="0" w:after="0"/>
        <w:jc w:val="both"/>
      </w:pPr>
      <w:r>
        <w:t>El capital neto de trabajo es el resultado de restar del activo corriente los pasivos a corto plazo de la entidad. El capital de trabajo se considera como aquellos recursos que necesita la entidad para operar.</w:t>
      </w:r>
    </w:p>
    <w:p w:rsidR="00A7456E" w:rsidRDefault="00A7456E" w:rsidP="004C1BE4">
      <w:pPr>
        <w:spacing w:before="0" w:after="0"/>
        <w:jc w:val="both"/>
      </w:pPr>
    </w:p>
    <w:p w:rsidR="003B2B94" w:rsidRDefault="003B2B94" w:rsidP="004C1BE4">
      <w:pPr>
        <w:spacing w:before="0" w:after="0"/>
        <w:jc w:val="both"/>
      </w:pPr>
    </w:p>
    <w:p w:rsidR="00A7456E" w:rsidRDefault="00A7456E" w:rsidP="004C1BE4">
      <w:pPr>
        <w:spacing w:before="0" w:after="0"/>
        <w:jc w:val="both"/>
      </w:pPr>
      <w:r>
        <w:t>Formula: Activo Corriente – Pasivo Corriente</w:t>
      </w:r>
    </w:p>
    <w:p w:rsidR="00A7456E" w:rsidRDefault="00A7456E" w:rsidP="004C1BE4">
      <w:pPr>
        <w:spacing w:before="0" w:after="0"/>
        <w:jc w:val="both"/>
      </w:pPr>
    </w:p>
    <w:p w:rsidR="005E00A8" w:rsidRDefault="005E00A8" w:rsidP="004C1BE4">
      <w:pPr>
        <w:spacing w:before="0" w:after="0"/>
        <w:jc w:val="both"/>
        <w:rPr>
          <w:rFonts w:ascii="Tahoma" w:hAnsi="Tahoma" w:cs="Tahoma"/>
        </w:rPr>
      </w:pPr>
    </w:p>
    <w:p w:rsidR="005E00A8" w:rsidRPr="00260E0D" w:rsidRDefault="005E00A8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$17.845.503</w:t>
      </w:r>
      <w:r w:rsidRPr="0089550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-</w:t>
      </w:r>
      <w:r w:rsidRPr="00895504">
        <w:rPr>
          <w:rFonts w:ascii="Tahoma" w:hAnsi="Tahoma" w:cs="Tahoma"/>
        </w:rPr>
        <w:t xml:space="preserve"> $</w:t>
      </w:r>
      <w:r>
        <w:rPr>
          <w:rFonts w:ascii="Tahoma" w:hAnsi="Tahoma" w:cs="Tahoma"/>
        </w:rPr>
        <w:t xml:space="preserve">8.165.703 </w:t>
      </w:r>
      <w:r w:rsidR="00A7456E" w:rsidRPr="00260E0D">
        <w:rPr>
          <w:rFonts w:ascii="Tahoma" w:hAnsi="Tahoma" w:cs="Tahoma"/>
        </w:rPr>
        <w:t xml:space="preserve">= </w:t>
      </w:r>
      <w:r w:rsidR="003B2B94">
        <w:rPr>
          <w:rFonts w:ascii="Tahoma" w:hAnsi="Tahoma" w:cs="Tahoma"/>
        </w:rPr>
        <w:t>$</w:t>
      </w:r>
      <w:r>
        <w:rPr>
          <w:rFonts w:ascii="Tahoma" w:hAnsi="Tahoma" w:cs="Tahoma"/>
        </w:rPr>
        <w:t>9.679.800</w:t>
      </w:r>
    </w:p>
    <w:p w:rsidR="00A7456E" w:rsidRDefault="00A7456E" w:rsidP="004C1BE4">
      <w:pPr>
        <w:spacing w:before="0" w:after="0"/>
        <w:jc w:val="both"/>
      </w:pPr>
    </w:p>
    <w:p w:rsidR="00A7456E" w:rsidRDefault="00A7456E" w:rsidP="004C1BE4">
      <w:pPr>
        <w:spacing w:before="0" w:after="0"/>
        <w:jc w:val="both"/>
      </w:pPr>
      <w:r>
        <w:t>El anterior resultado nos indica que el ente territorial</w:t>
      </w:r>
      <w:r w:rsidR="00260E0D">
        <w:t xml:space="preserve"> </w:t>
      </w:r>
      <w:r w:rsidR="00A44BFD">
        <w:t xml:space="preserve">tiene </w:t>
      </w:r>
      <w:r w:rsidR="003B2B94">
        <w:t>suficientes</w:t>
      </w:r>
      <w:r>
        <w:t xml:space="preserve"> recursos propios para operar.</w:t>
      </w:r>
    </w:p>
    <w:p w:rsidR="003E25A9" w:rsidRDefault="003E25A9" w:rsidP="004C1BE4">
      <w:pPr>
        <w:spacing w:before="0" w:after="0"/>
        <w:jc w:val="both"/>
      </w:pPr>
    </w:p>
    <w:p w:rsidR="003E25A9" w:rsidRPr="00924723" w:rsidRDefault="003E25A9" w:rsidP="004C1BE4">
      <w:pPr>
        <w:spacing w:before="0" w:after="0"/>
        <w:jc w:val="both"/>
        <w:rPr>
          <w:rFonts w:ascii="Tahoma" w:hAnsi="Tahoma" w:cs="Tahoma"/>
          <w:b/>
        </w:rPr>
      </w:pPr>
      <w:r w:rsidRPr="00924723">
        <w:rPr>
          <w:rFonts w:ascii="Tahoma" w:hAnsi="Tahoma" w:cs="Tahoma"/>
          <w:b/>
        </w:rPr>
        <w:t>NIVEL DE ENDEUDAMIENTO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t>Este indicador nos presenta el porcentaje de participación de los acreedores dentro de los activos del ente territorial.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t>Formula: Pasivo Total con Terceros / Activo Total</w:t>
      </w:r>
    </w:p>
    <w:p w:rsidR="003E25A9" w:rsidRDefault="003E25A9" w:rsidP="004C1BE4">
      <w:pPr>
        <w:spacing w:before="0" w:after="0"/>
        <w:jc w:val="both"/>
      </w:pPr>
    </w:p>
    <w:p w:rsidR="003E25A9" w:rsidRPr="00260E0D" w:rsidRDefault="00260E0D" w:rsidP="004C1BE4">
      <w:pPr>
        <w:spacing w:before="0" w:after="0"/>
        <w:jc w:val="both"/>
        <w:rPr>
          <w:rFonts w:ascii="Tahoma" w:hAnsi="Tahoma" w:cs="Tahoma"/>
        </w:rPr>
      </w:pPr>
      <w:r w:rsidRPr="00260E0D">
        <w:rPr>
          <w:rFonts w:ascii="Tahoma" w:hAnsi="Tahoma" w:cs="Tahoma"/>
        </w:rPr>
        <w:t>$</w:t>
      </w:r>
      <w:r w:rsidR="00FB79CA">
        <w:rPr>
          <w:rFonts w:ascii="Tahoma" w:hAnsi="Tahoma" w:cs="Tahoma"/>
        </w:rPr>
        <w:t>18.251.222</w:t>
      </w:r>
      <w:r w:rsidR="00924723">
        <w:rPr>
          <w:rFonts w:ascii="Tahoma" w:hAnsi="Tahoma" w:cs="Tahoma"/>
        </w:rPr>
        <w:t xml:space="preserve"> </w:t>
      </w:r>
      <w:r w:rsidR="003E25A9" w:rsidRPr="00260E0D">
        <w:rPr>
          <w:rFonts w:ascii="Tahoma" w:hAnsi="Tahoma" w:cs="Tahoma"/>
        </w:rPr>
        <w:t xml:space="preserve">/ </w:t>
      </w:r>
      <w:r w:rsidR="00924723">
        <w:rPr>
          <w:rFonts w:ascii="Tahoma" w:hAnsi="Tahoma" w:cs="Tahoma"/>
        </w:rPr>
        <w:t>$</w:t>
      </w:r>
      <w:r w:rsidR="00FB79CA">
        <w:rPr>
          <w:rFonts w:ascii="Tahoma" w:hAnsi="Tahoma" w:cs="Tahoma"/>
        </w:rPr>
        <w:t>47.308.865</w:t>
      </w:r>
      <w:r w:rsidRPr="00260E0D">
        <w:rPr>
          <w:rFonts w:ascii="Tahoma" w:hAnsi="Tahoma" w:cs="Tahoma"/>
        </w:rPr>
        <w:t xml:space="preserve"> =</w:t>
      </w:r>
      <w:r w:rsidR="00FB79CA">
        <w:rPr>
          <w:rFonts w:ascii="Tahoma" w:hAnsi="Tahoma" w:cs="Tahoma"/>
        </w:rPr>
        <w:t>38.57</w:t>
      </w:r>
      <w:r w:rsidR="003E25A9" w:rsidRPr="00260E0D">
        <w:rPr>
          <w:rFonts w:ascii="Tahoma" w:hAnsi="Tahoma" w:cs="Tahoma"/>
        </w:rPr>
        <w:t>%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t xml:space="preserve">El anterior resultado nos indica que del total de activos que posee el municipio, el </w:t>
      </w:r>
      <w:r w:rsidR="00FB79CA">
        <w:rPr>
          <w:rFonts w:ascii="Tahoma" w:hAnsi="Tahoma" w:cs="Tahoma"/>
        </w:rPr>
        <w:t>38.57</w:t>
      </w:r>
      <w:r>
        <w:t>% está siendo financiado por los acreedores.</w:t>
      </w:r>
    </w:p>
    <w:p w:rsidR="003E25A9" w:rsidRDefault="003E25A9" w:rsidP="004C1BE4">
      <w:pPr>
        <w:spacing w:before="0" w:after="0"/>
        <w:jc w:val="both"/>
      </w:pPr>
    </w:p>
    <w:p w:rsidR="00FB79CA" w:rsidRDefault="00FB79CA" w:rsidP="004C1BE4">
      <w:pPr>
        <w:spacing w:before="0" w:after="0"/>
        <w:jc w:val="both"/>
      </w:pPr>
    </w:p>
    <w:p w:rsidR="003E25A9" w:rsidRPr="00924723" w:rsidRDefault="003E25A9" w:rsidP="004C1BE4">
      <w:pPr>
        <w:spacing w:before="0" w:after="0"/>
        <w:jc w:val="both"/>
        <w:rPr>
          <w:rFonts w:ascii="Tahoma" w:hAnsi="Tahoma" w:cs="Tahoma"/>
          <w:b/>
        </w:rPr>
      </w:pPr>
      <w:r w:rsidRPr="00924723">
        <w:rPr>
          <w:rFonts w:ascii="Tahoma" w:hAnsi="Tahoma" w:cs="Tahoma"/>
          <w:b/>
        </w:rPr>
        <w:t>RAZÓN DEL PATRIMONIO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t xml:space="preserve">Nos muestra hasta </w:t>
      </w:r>
      <w:r w:rsidR="009F3F48">
        <w:t>qué</w:t>
      </w:r>
      <w:r>
        <w:t xml:space="preserve"> punto la entidad territorial tiene independencia financiera ante sus acreedores, se determina dividiendo el valor del patrimonio entre el activo total.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t>Formula: Patrimonio Total / Activo Total</w:t>
      </w:r>
    </w:p>
    <w:p w:rsidR="003E25A9" w:rsidRDefault="003E25A9" w:rsidP="004C1BE4">
      <w:pPr>
        <w:spacing w:before="0" w:after="0"/>
        <w:jc w:val="both"/>
      </w:pPr>
    </w:p>
    <w:p w:rsidR="003E25A9" w:rsidRPr="00260E0D" w:rsidRDefault="00764ABD" w:rsidP="004C1BE4">
      <w:pPr>
        <w:spacing w:before="0" w:after="0"/>
        <w:jc w:val="both"/>
        <w:rPr>
          <w:rFonts w:ascii="Tahoma" w:hAnsi="Tahoma" w:cs="Tahoma"/>
        </w:rPr>
      </w:pPr>
      <w:r w:rsidRPr="00260E0D">
        <w:rPr>
          <w:rFonts w:ascii="Tahoma" w:hAnsi="Tahoma" w:cs="Tahoma"/>
        </w:rPr>
        <w:t>$</w:t>
      </w:r>
      <w:r w:rsidR="00FB79CA">
        <w:rPr>
          <w:rFonts w:ascii="Tahoma" w:hAnsi="Tahoma" w:cs="Tahoma"/>
        </w:rPr>
        <w:t>24.935.656</w:t>
      </w:r>
      <w:r w:rsidR="003E25A9" w:rsidRPr="00260E0D">
        <w:rPr>
          <w:rFonts w:ascii="Tahoma" w:hAnsi="Tahoma" w:cs="Tahoma"/>
        </w:rPr>
        <w:t xml:space="preserve"> / </w:t>
      </w:r>
      <w:r w:rsidR="00924723">
        <w:rPr>
          <w:rFonts w:ascii="Tahoma" w:hAnsi="Tahoma" w:cs="Tahoma"/>
        </w:rPr>
        <w:t>$</w:t>
      </w:r>
      <w:r w:rsidR="00FB79CA">
        <w:rPr>
          <w:rFonts w:ascii="Tahoma" w:hAnsi="Tahoma" w:cs="Tahoma"/>
        </w:rPr>
        <w:t>47.308.865</w:t>
      </w:r>
      <w:r w:rsidR="003B2B94">
        <w:rPr>
          <w:rFonts w:ascii="Tahoma" w:hAnsi="Tahoma" w:cs="Tahoma"/>
        </w:rPr>
        <w:t xml:space="preserve"> </w:t>
      </w:r>
      <w:r w:rsidRPr="00260E0D">
        <w:rPr>
          <w:rFonts w:ascii="Tahoma" w:hAnsi="Tahoma" w:cs="Tahoma"/>
        </w:rPr>
        <w:t xml:space="preserve">= </w:t>
      </w:r>
      <w:r w:rsidR="00FB79CA">
        <w:rPr>
          <w:rFonts w:ascii="Tahoma" w:hAnsi="Tahoma" w:cs="Tahoma"/>
        </w:rPr>
        <w:t>57.70</w:t>
      </w:r>
      <w:r w:rsidRPr="00260E0D">
        <w:rPr>
          <w:rFonts w:ascii="Tahoma" w:hAnsi="Tahoma" w:cs="Tahoma"/>
        </w:rPr>
        <w:t>%</w:t>
      </w:r>
    </w:p>
    <w:p w:rsidR="008326D2" w:rsidRDefault="008326D2" w:rsidP="004C1BE4">
      <w:pPr>
        <w:spacing w:before="0" w:after="0"/>
        <w:jc w:val="both"/>
      </w:pPr>
    </w:p>
    <w:p w:rsidR="008326D2" w:rsidRDefault="008326D2" w:rsidP="004C1BE4">
      <w:pPr>
        <w:spacing w:before="0" w:after="0"/>
        <w:jc w:val="both"/>
      </w:pPr>
      <w:r>
        <w:t xml:space="preserve">El porcentaje establecido anteriormente nos indica que el </w:t>
      </w:r>
      <w:r w:rsidR="00FB79CA">
        <w:rPr>
          <w:rFonts w:ascii="Tahoma" w:hAnsi="Tahoma" w:cs="Tahoma"/>
        </w:rPr>
        <w:t>57.70</w:t>
      </w:r>
      <w:r>
        <w:t>% de los activos, están siendo financiados con capital propio.</w:t>
      </w:r>
    </w:p>
    <w:p w:rsidR="00260E0D" w:rsidRDefault="00260E0D" w:rsidP="004C1BE4">
      <w:pPr>
        <w:spacing w:before="0" w:after="0"/>
        <w:jc w:val="both"/>
      </w:pPr>
    </w:p>
    <w:p w:rsidR="00260E0D" w:rsidRDefault="00260E0D" w:rsidP="004C1BE4">
      <w:pPr>
        <w:spacing w:before="0" w:after="0"/>
        <w:jc w:val="both"/>
      </w:pPr>
    </w:p>
    <w:p w:rsidR="006756E8" w:rsidRPr="00AC6F1B" w:rsidRDefault="006756E8" w:rsidP="004C1BE4">
      <w:pPr>
        <w:pStyle w:val="Prrafodelista"/>
        <w:numPr>
          <w:ilvl w:val="0"/>
          <w:numId w:val="50"/>
        </w:numPr>
        <w:spacing w:before="0" w:after="0"/>
        <w:jc w:val="both"/>
        <w:rPr>
          <w:rFonts w:ascii="Tahoma" w:hAnsi="Tahoma" w:cs="Tahoma"/>
          <w:b/>
        </w:rPr>
      </w:pPr>
      <w:r w:rsidRPr="00AC6F1B">
        <w:rPr>
          <w:rFonts w:ascii="Tahoma" w:hAnsi="Tahoma" w:cs="Tahoma"/>
          <w:b/>
        </w:rPr>
        <w:t>CONCEPTUALIZACION SOBRE LOS ESTADOS FINANCIEROS 201</w:t>
      </w:r>
      <w:r w:rsidR="00924723">
        <w:rPr>
          <w:rFonts w:ascii="Tahoma" w:hAnsi="Tahoma" w:cs="Tahoma"/>
          <w:b/>
        </w:rPr>
        <w:t>5</w:t>
      </w:r>
    </w:p>
    <w:p w:rsidR="006756E8" w:rsidRPr="00AC6F1B" w:rsidRDefault="006756E8" w:rsidP="004C1BE4">
      <w:pPr>
        <w:spacing w:before="0" w:after="0"/>
        <w:jc w:val="both"/>
        <w:rPr>
          <w:rFonts w:ascii="Tahoma" w:hAnsi="Tahoma" w:cs="Tahoma"/>
        </w:rPr>
      </w:pPr>
    </w:p>
    <w:p w:rsidR="006756E8" w:rsidRPr="00AC6F1B" w:rsidRDefault="006756E8" w:rsidP="004C1BE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 xml:space="preserve">El municipio de </w:t>
      </w:r>
      <w:r w:rsidR="00FB79CA">
        <w:rPr>
          <w:rFonts w:ascii="Tahoma" w:hAnsi="Tahoma" w:cs="Tahoma"/>
        </w:rPr>
        <w:t>el Guamo</w:t>
      </w:r>
      <w:r w:rsidRPr="00AC6F1B">
        <w:rPr>
          <w:rFonts w:ascii="Tahoma" w:hAnsi="Tahoma" w:cs="Tahoma"/>
        </w:rPr>
        <w:t xml:space="preserve"> de acuerdo con su Balance General terminado en la fecha, </w:t>
      </w:r>
      <w:r w:rsidR="00AC6F1B">
        <w:rPr>
          <w:rFonts w:ascii="Tahoma" w:hAnsi="Tahoma" w:cs="Tahoma"/>
        </w:rPr>
        <w:t>muestra</w:t>
      </w:r>
      <w:r w:rsidRPr="00AC6F1B">
        <w:rPr>
          <w:rFonts w:ascii="Tahoma" w:hAnsi="Tahoma" w:cs="Tahoma"/>
        </w:rPr>
        <w:t xml:space="preserve"> que sus activos totales </w:t>
      </w:r>
      <w:r w:rsidR="00924723">
        <w:rPr>
          <w:rFonts w:ascii="Tahoma" w:hAnsi="Tahoma" w:cs="Tahoma"/>
        </w:rPr>
        <w:t>crecieron</w:t>
      </w:r>
      <w:r w:rsidR="00AC6F1B">
        <w:rPr>
          <w:rFonts w:ascii="Tahoma" w:hAnsi="Tahoma" w:cs="Tahoma"/>
        </w:rPr>
        <w:t xml:space="preserve"> en </w:t>
      </w:r>
      <w:r w:rsidRPr="00AC6F1B">
        <w:rPr>
          <w:rFonts w:ascii="Tahoma" w:hAnsi="Tahoma" w:cs="Tahoma"/>
        </w:rPr>
        <w:t xml:space="preserve">un </w:t>
      </w:r>
      <w:r w:rsidR="00FB79CA">
        <w:rPr>
          <w:rFonts w:ascii="Tahoma" w:hAnsi="Tahoma" w:cs="Tahoma"/>
        </w:rPr>
        <w:t>0.70</w:t>
      </w:r>
      <w:r w:rsidRPr="00AC6F1B">
        <w:rPr>
          <w:rFonts w:ascii="Tahoma" w:hAnsi="Tahoma" w:cs="Tahoma"/>
        </w:rPr>
        <w:t>% la suma de $</w:t>
      </w:r>
      <w:r w:rsidR="00FB79CA">
        <w:rPr>
          <w:rFonts w:ascii="Tahoma" w:hAnsi="Tahoma" w:cs="Tahoma"/>
        </w:rPr>
        <w:t>329.570</w:t>
      </w:r>
      <w:r w:rsidRPr="00AC6F1B">
        <w:rPr>
          <w:rFonts w:ascii="Tahoma" w:hAnsi="Tahoma" w:cs="Tahoma"/>
        </w:rPr>
        <w:t xml:space="preserve"> (mies de $), con relación al periodo 201</w:t>
      </w:r>
      <w:r w:rsidR="00924723">
        <w:rPr>
          <w:rFonts w:ascii="Tahoma" w:hAnsi="Tahoma" w:cs="Tahoma"/>
        </w:rPr>
        <w:t>4</w:t>
      </w:r>
      <w:r w:rsidRPr="00AC6F1B">
        <w:rPr>
          <w:rFonts w:ascii="Tahoma" w:hAnsi="Tahoma" w:cs="Tahoma"/>
        </w:rPr>
        <w:t>, reflejados en las cuentas</w:t>
      </w:r>
      <w:r w:rsidR="00AC6F1B">
        <w:rPr>
          <w:rFonts w:ascii="Tahoma" w:hAnsi="Tahoma" w:cs="Tahoma"/>
        </w:rPr>
        <w:t xml:space="preserve">, </w:t>
      </w:r>
      <w:r w:rsidR="00FB79CA">
        <w:rPr>
          <w:rFonts w:ascii="Tahoma" w:hAnsi="Tahoma" w:cs="Tahoma"/>
        </w:rPr>
        <w:t xml:space="preserve">Rentas por Cobrar y </w:t>
      </w:r>
      <w:r w:rsidR="00924723">
        <w:rPr>
          <w:rFonts w:ascii="Tahoma" w:hAnsi="Tahoma" w:cs="Tahoma"/>
        </w:rPr>
        <w:t>Deudores</w:t>
      </w:r>
      <w:r w:rsidRPr="00AC6F1B">
        <w:rPr>
          <w:rFonts w:ascii="Tahoma" w:hAnsi="Tahoma" w:cs="Tahoma"/>
        </w:rPr>
        <w:t>.</w:t>
      </w:r>
    </w:p>
    <w:p w:rsidR="006756E8" w:rsidRPr="00AC6F1B" w:rsidRDefault="006756E8" w:rsidP="004C1BE4">
      <w:pPr>
        <w:spacing w:before="0" w:after="0"/>
        <w:jc w:val="both"/>
        <w:rPr>
          <w:rFonts w:ascii="Tahoma" w:hAnsi="Tahoma" w:cs="Tahoma"/>
        </w:rPr>
      </w:pPr>
    </w:p>
    <w:p w:rsidR="006756E8" w:rsidRDefault="006756E8" w:rsidP="004C1BE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 xml:space="preserve">Su patrimonio creció un </w:t>
      </w:r>
      <w:r w:rsidR="00FB79CA">
        <w:rPr>
          <w:rFonts w:ascii="Tahoma" w:hAnsi="Tahoma" w:cs="Tahoma"/>
        </w:rPr>
        <w:t>35.79</w:t>
      </w:r>
      <w:r w:rsidRPr="00AC6F1B">
        <w:rPr>
          <w:rFonts w:ascii="Tahoma" w:hAnsi="Tahoma" w:cs="Tahoma"/>
        </w:rPr>
        <w:t xml:space="preserve">%, </w:t>
      </w:r>
      <w:r w:rsidR="00772FF9">
        <w:rPr>
          <w:rFonts w:ascii="Tahoma" w:hAnsi="Tahoma" w:cs="Tahoma"/>
        </w:rPr>
        <w:t>con respecto a la vigencia 2014.</w:t>
      </w:r>
    </w:p>
    <w:p w:rsidR="00AC6F1B" w:rsidRPr="00AC6F1B" w:rsidRDefault="00AC6F1B" w:rsidP="004C1BE4">
      <w:pPr>
        <w:spacing w:before="0" w:after="0"/>
        <w:jc w:val="both"/>
        <w:rPr>
          <w:rFonts w:ascii="Tahoma" w:hAnsi="Tahoma" w:cs="Tahoma"/>
        </w:rPr>
      </w:pP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 xml:space="preserve">Su estructura financiera al cierre del periodo contable 2014, estaba representada en el </w:t>
      </w:r>
      <w:r w:rsidR="00FB79CA">
        <w:rPr>
          <w:rFonts w:ascii="Tahoma" w:hAnsi="Tahoma" w:cs="Tahoma"/>
        </w:rPr>
        <w:t>42.30</w:t>
      </w:r>
      <w:r w:rsidRPr="00AC6F1B">
        <w:rPr>
          <w:rFonts w:ascii="Tahoma" w:hAnsi="Tahoma" w:cs="Tahoma"/>
        </w:rPr>
        <w:t xml:space="preserve">% los pasivos y el </w:t>
      </w:r>
      <w:r w:rsidR="00FB79CA">
        <w:rPr>
          <w:rFonts w:ascii="Tahoma" w:hAnsi="Tahoma" w:cs="Tahoma"/>
        </w:rPr>
        <w:t>57.70</w:t>
      </w:r>
      <w:r w:rsidRPr="00AC6F1B">
        <w:rPr>
          <w:rFonts w:ascii="Tahoma" w:hAnsi="Tahoma" w:cs="Tahoma"/>
        </w:rPr>
        <w:t>% el patrimonio.</w:t>
      </w: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 xml:space="preserve">El municipio presenta un nivel de endeudamiento </w:t>
      </w:r>
      <w:r w:rsidR="00552817">
        <w:rPr>
          <w:rFonts w:ascii="Tahoma" w:hAnsi="Tahoma" w:cs="Tahoma"/>
        </w:rPr>
        <w:t xml:space="preserve">relativamente </w:t>
      </w:r>
      <w:r w:rsidRPr="00AC6F1B">
        <w:rPr>
          <w:rFonts w:ascii="Tahoma" w:hAnsi="Tahoma" w:cs="Tahoma"/>
        </w:rPr>
        <w:t xml:space="preserve">respecto al total de sus activos, alcanzando un margen del </w:t>
      </w:r>
      <w:r w:rsidR="00032118">
        <w:rPr>
          <w:rFonts w:ascii="Tahoma" w:hAnsi="Tahoma" w:cs="Tahoma"/>
        </w:rPr>
        <w:t>3</w:t>
      </w:r>
      <w:r w:rsidR="00552817">
        <w:rPr>
          <w:rFonts w:ascii="Tahoma" w:hAnsi="Tahoma" w:cs="Tahoma"/>
        </w:rPr>
        <w:t>8</w:t>
      </w:r>
      <w:r w:rsidR="00032118">
        <w:rPr>
          <w:rFonts w:ascii="Tahoma" w:hAnsi="Tahoma" w:cs="Tahoma"/>
        </w:rPr>
        <w:t>.5</w:t>
      </w:r>
      <w:r w:rsidR="00552817">
        <w:rPr>
          <w:rFonts w:ascii="Tahoma" w:hAnsi="Tahoma" w:cs="Tahoma"/>
        </w:rPr>
        <w:t>7</w:t>
      </w:r>
      <w:r w:rsidRPr="00AC6F1B">
        <w:rPr>
          <w:rFonts w:ascii="Tahoma" w:hAnsi="Tahoma" w:cs="Tahoma"/>
        </w:rPr>
        <w:t>%.</w:t>
      </w: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 xml:space="preserve">De acuerdo con los resultados de sus indicadores </w:t>
      </w:r>
      <w:r w:rsidR="00C83948" w:rsidRPr="00AC6F1B">
        <w:rPr>
          <w:rFonts w:ascii="Tahoma" w:hAnsi="Tahoma" w:cs="Tahoma"/>
        </w:rPr>
        <w:t>podem</w:t>
      </w:r>
      <w:r w:rsidR="00032118">
        <w:rPr>
          <w:rFonts w:ascii="Tahoma" w:hAnsi="Tahoma" w:cs="Tahoma"/>
        </w:rPr>
        <w:t>os concluir que el municipio de</w:t>
      </w:r>
      <w:r w:rsidR="00C83948" w:rsidRPr="00AC6F1B">
        <w:rPr>
          <w:rFonts w:ascii="Tahoma" w:hAnsi="Tahoma" w:cs="Tahoma"/>
        </w:rPr>
        <w:t xml:space="preserve"> </w:t>
      </w:r>
      <w:r w:rsidR="00552817">
        <w:rPr>
          <w:rFonts w:ascii="Tahoma" w:hAnsi="Tahoma" w:cs="Tahoma"/>
        </w:rPr>
        <w:t>Guamo</w:t>
      </w:r>
      <w:r w:rsidR="00C83948" w:rsidRPr="00AC6F1B">
        <w:rPr>
          <w:rFonts w:ascii="Tahoma" w:hAnsi="Tahoma" w:cs="Tahoma"/>
        </w:rPr>
        <w:t xml:space="preserve"> al corte del 3</w:t>
      </w:r>
      <w:r w:rsidR="00CC0F10">
        <w:rPr>
          <w:rFonts w:ascii="Tahoma" w:hAnsi="Tahoma" w:cs="Tahoma"/>
        </w:rPr>
        <w:t>1</w:t>
      </w:r>
      <w:r w:rsidR="00C83948" w:rsidRPr="00AC6F1B">
        <w:rPr>
          <w:rFonts w:ascii="Tahoma" w:hAnsi="Tahoma" w:cs="Tahoma"/>
        </w:rPr>
        <w:t xml:space="preserve"> de diciembre de 201</w:t>
      </w:r>
      <w:r w:rsidR="00032118">
        <w:rPr>
          <w:rFonts w:ascii="Tahoma" w:hAnsi="Tahoma" w:cs="Tahoma"/>
        </w:rPr>
        <w:t>5</w:t>
      </w:r>
      <w:r w:rsidR="00C83948" w:rsidRPr="00AC6F1B">
        <w:rPr>
          <w:rFonts w:ascii="Tahoma" w:hAnsi="Tahoma" w:cs="Tahoma"/>
        </w:rPr>
        <w:t xml:space="preserve">, presentaba una situación financiera </w:t>
      </w:r>
      <w:r w:rsidR="00CC0F10">
        <w:rPr>
          <w:rFonts w:ascii="Tahoma" w:hAnsi="Tahoma" w:cs="Tahoma"/>
        </w:rPr>
        <w:t>favorable</w:t>
      </w:r>
      <w:r w:rsidR="00552817">
        <w:rPr>
          <w:rFonts w:ascii="Tahoma" w:hAnsi="Tahoma" w:cs="Tahoma"/>
        </w:rPr>
        <w:t>, sin embargo creemos que debe tomar medidas para evitar una posible desfinanciacion teniendo cuenta su nivel de endeudamiento y la distribución de su estructura financiera ya que está llegando prácticamente al 50%, es decir, 50% pasivos y 50% patrimonio</w:t>
      </w:r>
      <w:r w:rsidR="00CC0F10">
        <w:rPr>
          <w:rFonts w:ascii="Tahoma" w:hAnsi="Tahoma" w:cs="Tahoma"/>
        </w:rPr>
        <w:t xml:space="preserve">. </w:t>
      </w:r>
    </w:p>
    <w:p w:rsidR="00A7456E" w:rsidRPr="00AC6F1B" w:rsidRDefault="00A7456E" w:rsidP="004C1BE4">
      <w:pPr>
        <w:spacing w:before="0" w:after="0"/>
        <w:jc w:val="both"/>
        <w:rPr>
          <w:rFonts w:ascii="Tahoma" w:hAnsi="Tahoma" w:cs="Tahoma"/>
        </w:rPr>
      </w:pPr>
    </w:p>
    <w:sectPr w:rsidR="00A7456E" w:rsidRPr="00AC6F1B" w:rsidSect="00454B8B">
      <w:headerReference w:type="default" r:id="rId9"/>
      <w:footerReference w:type="default" r:id="rId10"/>
      <w:pgSz w:w="12242" w:h="15842" w:code="1"/>
      <w:pgMar w:top="2376" w:right="1701" w:bottom="2268" w:left="1701" w:header="340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134" w:rsidRDefault="00457134" w:rsidP="00650A99">
      <w:r>
        <w:separator/>
      </w:r>
    </w:p>
  </w:endnote>
  <w:endnote w:type="continuationSeparator" w:id="0">
    <w:p w:rsidR="00457134" w:rsidRDefault="00457134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ng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709" w:rsidRPr="00070555" w:rsidRDefault="002C3709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63BC992" wp14:editId="6EB0E185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C3709" w:rsidRPr="003205FF" w:rsidRDefault="002C3709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15386E" w:rsidRPr="0015386E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10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fldSimple w:instr="NUMPAGES  \* Arabic  \* MERGEFORMAT">
                            <w:r w:rsidR="0015386E" w:rsidRPr="0015386E">
                              <w:rPr>
                                <w:rFonts w:ascii="Tahoma" w:hAnsi="Tahoma" w:cs="Tahoma"/>
                                <w:noProof/>
                                <w:sz w:val="14"/>
                                <w:szCs w:val="16"/>
                                <w:lang w:val="es-ES"/>
                              </w:rPr>
                              <w:t>10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3BC99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" filled="f" stroked="f">
              <v:textbox>
                <w:txbxContent>
                  <w:p w:rsidR="002C3709" w:rsidRPr="003205FF" w:rsidRDefault="002C3709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15386E" w:rsidRPr="0015386E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10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fldSimple w:instr="NUMPAGES  \* Arabic  \* MERGEFORMAT">
                      <w:r w:rsidR="0015386E" w:rsidRPr="0015386E">
                        <w:rPr>
                          <w:rFonts w:ascii="Tahoma" w:hAnsi="Tahoma" w:cs="Tahoma"/>
                          <w:noProof/>
                          <w:sz w:val="14"/>
                          <w:szCs w:val="16"/>
                          <w:lang w:val="es-ES"/>
                        </w:rPr>
                        <w:t>10</w:t>
                      </w:r>
                    </w:fldSimple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C89259" wp14:editId="33A30A85">
              <wp:simplePos x="0" y="0"/>
              <wp:positionH relativeFrom="column">
                <wp:posOffset>3162935</wp:posOffset>
              </wp:positionH>
              <wp:positionV relativeFrom="paragraph">
                <wp:posOffset>79375</wp:posOffset>
              </wp:positionV>
              <wp:extent cx="3453130" cy="137604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3130" cy="1376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C3709" w:rsidRDefault="002C3709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C89259" id="_x0000_s1027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" filled="f" stroked="f">
              <v:textbox>
                <w:txbxContent>
                  <w:p w:rsidR="002C3709" w:rsidRDefault="002C3709"/>
                </w:txbxContent>
              </v:textbox>
            </v:shape>
          </w:pict>
        </mc:Fallback>
      </mc:AlternateContent>
    </w:r>
  </w:p>
  <w:p w:rsidR="002C3709" w:rsidRPr="00070555" w:rsidRDefault="002C3709">
    <w:pPr>
      <w:pStyle w:val="Piedepgina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0D74DE9" wp14:editId="2ED4A2F6">
              <wp:simplePos x="0" y="0"/>
              <wp:positionH relativeFrom="column">
                <wp:posOffset>-157480</wp:posOffset>
              </wp:positionH>
              <wp:positionV relativeFrom="paragraph">
                <wp:posOffset>6350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C3709" w:rsidRDefault="002C3709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:rsidR="002C3709" w:rsidRDefault="002C3709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2C3709" w:rsidRPr="00BB3D88" w:rsidRDefault="002C3709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2C3709" w:rsidRPr="003205FF" w:rsidRDefault="0015386E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2C3709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2C3709" w:rsidRPr="000352F0" w:rsidRDefault="002C3709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Web-Site: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2C3709" w:rsidRPr="00BB3D88" w:rsidRDefault="002C3709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2C3709" w:rsidRPr="00A926CE" w:rsidRDefault="002C3709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D74DE9" id="_x0000_s1028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" filled="f" stroked="f">
              <v:textbox>
                <w:txbxContent>
                  <w:p w:rsidR="002C3709" w:rsidRDefault="002C3709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:rsidR="002C3709" w:rsidRDefault="002C3709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2C3709" w:rsidRPr="00BB3D88" w:rsidRDefault="002C3709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2C3709" w:rsidRPr="003205FF" w:rsidRDefault="0015386E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2C3709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2C3709" w:rsidRPr="000352F0" w:rsidRDefault="002C3709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Web-Site: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2C3709" w:rsidRPr="00BB3D88" w:rsidRDefault="002C3709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2C3709" w:rsidRPr="00A926CE" w:rsidRDefault="002C3709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134" w:rsidRDefault="00457134" w:rsidP="00650A99">
      <w:r>
        <w:separator/>
      </w:r>
    </w:p>
  </w:footnote>
  <w:footnote w:type="continuationSeparator" w:id="0">
    <w:p w:rsidR="00457134" w:rsidRDefault="00457134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709" w:rsidRDefault="00CB68D9">
    <w:pPr>
      <w:pStyle w:val="Encabezado"/>
    </w:pPr>
    <w:r>
      <w:rPr>
        <w:noProof/>
      </w:rPr>
      <w:drawing>
        <wp:inline distT="0" distB="0" distL="0" distR="0">
          <wp:extent cx="1571625" cy="1219200"/>
          <wp:effectExtent l="0" t="0" r="9525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Contralor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B68D9" w:rsidRDefault="00CB68D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A0B2399C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D6CD136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B8425908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01AD722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DDBCEF98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5D6F08E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166A37EE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6B6C032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CCB86238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1065FE7"/>
    <w:multiLevelType w:val="multilevel"/>
    <w:tmpl w:val="DBF02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16D6EB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1E76F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274155"/>
    <w:multiLevelType w:val="hybridMultilevel"/>
    <w:tmpl w:val="72AED83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894909"/>
    <w:multiLevelType w:val="hybridMultilevel"/>
    <w:tmpl w:val="71821372"/>
    <w:lvl w:ilvl="0" w:tplc="D69824C2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FB6D7C"/>
    <w:multiLevelType w:val="hybridMultilevel"/>
    <w:tmpl w:val="11764014"/>
    <w:lvl w:ilvl="0" w:tplc="4CA6E5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63678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6800C7D"/>
    <w:multiLevelType w:val="hybridMultilevel"/>
    <w:tmpl w:val="62FE0244"/>
    <w:lvl w:ilvl="0" w:tplc="E35CD0F2">
      <w:start w:val="6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580994"/>
    <w:multiLevelType w:val="hybridMultilevel"/>
    <w:tmpl w:val="0C22C6A2"/>
    <w:lvl w:ilvl="0" w:tplc="272E539C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B556AF7"/>
    <w:multiLevelType w:val="hybridMultilevel"/>
    <w:tmpl w:val="7C3C92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015BB4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>
    <w:nsid w:val="17DE6206"/>
    <w:multiLevelType w:val="hybridMultilevel"/>
    <w:tmpl w:val="820452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9132A20"/>
    <w:multiLevelType w:val="hybridMultilevel"/>
    <w:tmpl w:val="C64499A2"/>
    <w:lvl w:ilvl="0" w:tplc="9A0C47CC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>
    <w:nsid w:val="1DC11EC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5AF5AAB"/>
    <w:multiLevelType w:val="hybridMultilevel"/>
    <w:tmpl w:val="6C88019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3494A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>
    <w:nsid w:val="30E0347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16942AC"/>
    <w:multiLevelType w:val="multilevel"/>
    <w:tmpl w:val="FDD6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20A6C03"/>
    <w:multiLevelType w:val="hybridMultilevel"/>
    <w:tmpl w:val="353A655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32338F"/>
    <w:multiLevelType w:val="hybridMultilevel"/>
    <w:tmpl w:val="7B12D7CC"/>
    <w:lvl w:ilvl="0" w:tplc="C2BEA38A">
      <w:start w:val="6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57197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995458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E533BCE"/>
    <w:multiLevelType w:val="hybridMultilevel"/>
    <w:tmpl w:val="F870965E"/>
    <w:lvl w:ilvl="0" w:tplc="4C62AF3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753C8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1354AB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2A9106E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>
    <w:nsid w:val="43EE3476"/>
    <w:multiLevelType w:val="hybridMultilevel"/>
    <w:tmpl w:val="675CC024"/>
    <w:lvl w:ilvl="0" w:tplc="2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4F540F"/>
    <w:multiLevelType w:val="hybridMultilevel"/>
    <w:tmpl w:val="D2EC36E6"/>
    <w:lvl w:ilvl="0" w:tplc="F91661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59534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20431F5"/>
    <w:multiLevelType w:val="hybridMultilevel"/>
    <w:tmpl w:val="ECF6520A"/>
    <w:lvl w:ilvl="0" w:tplc="411C5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angle" w:eastAsia="Times New Roman" w:hAnsi="Bangle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B70D7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6B777F8"/>
    <w:multiLevelType w:val="hybridMultilevel"/>
    <w:tmpl w:val="59708BBC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62205F"/>
    <w:multiLevelType w:val="hybridMultilevel"/>
    <w:tmpl w:val="EDDEDBCC"/>
    <w:lvl w:ilvl="0" w:tplc="D7AEE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9E1408"/>
    <w:multiLevelType w:val="hybridMultilevel"/>
    <w:tmpl w:val="74A2ED5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151B98"/>
    <w:multiLevelType w:val="hybridMultilevel"/>
    <w:tmpl w:val="09D6DB1A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3F3727"/>
    <w:multiLevelType w:val="hybridMultilevel"/>
    <w:tmpl w:val="20F00B6C"/>
    <w:lvl w:ilvl="0" w:tplc="D69824C2">
      <w:numFmt w:val="bullet"/>
      <w:lvlText w:val="-"/>
      <w:lvlJc w:val="left"/>
      <w:pPr>
        <w:ind w:left="2279" w:hanging="360"/>
      </w:pPr>
      <w:rPr>
        <w:rFonts w:ascii="Tahoma" w:eastAsia="Arial" w:hAnsi="Tahoma" w:cs="Tahoma" w:hint="default"/>
      </w:rPr>
    </w:lvl>
    <w:lvl w:ilvl="1" w:tplc="240A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37">
    <w:nsid w:val="6854260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6FBC5B7E"/>
    <w:multiLevelType w:val="hybridMultilevel"/>
    <w:tmpl w:val="5EF071A6"/>
    <w:lvl w:ilvl="0" w:tplc="5FB2B510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D69824C2">
      <w:numFmt w:val="bullet"/>
      <w:lvlText w:val="-"/>
      <w:lvlJc w:val="left"/>
      <w:pPr>
        <w:ind w:left="1440" w:hanging="360"/>
      </w:pPr>
      <w:rPr>
        <w:rFonts w:ascii="Tahoma" w:eastAsia="Arial" w:hAnsi="Tahoma" w:cs="Tahoma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912B7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15D5870"/>
    <w:multiLevelType w:val="hybridMultilevel"/>
    <w:tmpl w:val="62A614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E441F9"/>
    <w:multiLevelType w:val="hybridMultilevel"/>
    <w:tmpl w:val="B07C1F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6739B4"/>
    <w:multiLevelType w:val="hybridMultilevel"/>
    <w:tmpl w:val="837EF2D0"/>
    <w:lvl w:ilvl="0" w:tplc="B748CE7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DA77CB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5">
    <w:nsid w:val="78DF618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7C040619"/>
    <w:multiLevelType w:val="hybridMultilevel"/>
    <w:tmpl w:val="58FE9E06"/>
    <w:lvl w:ilvl="0" w:tplc="B1D0230E">
      <w:numFmt w:val="bullet"/>
      <w:lvlText w:val="-"/>
      <w:lvlJc w:val="left"/>
      <w:pPr>
        <w:ind w:left="1852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47">
    <w:nsid w:val="7CAE0515"/>
    <w:multiLevelType w:val="multilevel"/>
    <w:tmpl w:val="5F0E2CCE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EA54861"/>
    <w:multiLevelType w:val="hybridMultilevel"/>
    <w:tmpl w:val="D88E70FE"/>
    <w:lvl w:ilvl="0" w:tplc="240A000F">
      <w:start w:val="1"/>
      <w:numFmt w:val="decimal"/>
      <w:lvlText w:val="%1."/>
      <w:lvlJc w:val="left"/>
      <w:pPr>
        <w:ind w:left="644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9C6071"/>
    <w:multiLevelType w:val="hybridMultilevel"/>
    <w:tmpl w:val="5F6ABD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5"/>
  </w:num>
  <w:num w:numId="4">
    <w:abstractNumId w:val="27"/>
  </w:num>
  <w:num w:numId="5">
    <w:abstractNumId w:val="0"/>
  </w:num>
  <w:num w:numId="6">
    <w:abstractNumId w:val="43"/>
  </w:num>
  <w:num w:numId="7">
    <w:abstractNumId w:val="10"/>
  </w:num>
  <w:num w:numId="8">
    <w:abstractNumId w:val="49"/>
  </w:num>
  <w:num w:numId="9">
    <w:abstractNumId w:val="34"/>
  </w:num>
  <w:num w:numId="10">
    <w:abstractNumId w:val="19"/>
  </w:num>
  <w:num w:numId="11">
    <w:abstractNumId w:val="42"/>
  </w:num>
  <w:num w:numId="12">
    <w:abstractNumId w:val="9"/>
  </w:num>
  <w:num w:numId="13">
    <w:abstractNumId w:val="17"/>
  </w:num>
  <w:num w:numId="14">
    <w:abstractNumId w:val="7"/>
  </w:num>
  <w:num w:numId="15">
    <w:abstractNumId w:val="45"/>
  </w:num>
  <w:num w:numId="16">
    <w:abstractNumId w:val="21"/>
  </w:num>
  <w:num w:numId="17">
    <w:abstractNumId w:val="18"/>
  </w:num>
  <w:num w:numId="18">
    <w:abstractNumId w:val="25"/>
  </w:num>
  <w:num w:numId="19">
    <w:abstractNumId w:val="40"/>
  </w:num>
  <w:num w:numId="20">
    <w:abstractNumId w:val="37"/>
  </w:num>
  <w:num w:numId="21">
    <w:abstractNumId w:val="3"/>
  </w:num>
  <w:num w:numId="22">
    <w:abstractNumId w:val="24"/>
  </w:num>
  <w:num w:numId="23">
    <w:abstractNumId w:val="31"/>
  </w:num>
  <w:num w:numId="24">
    <w:abstractNumId w:val="2"/>
  </w:num>
  <w:num w:numId="25">
    <w:abstractNumId w:val="14"/>
  </w:num>
  <w:num w:numId="26">
    <w:abstractNumId w:val="26"/>
  </w:num>
  <w:num w:numId="27">
    <w:abstractNumId w:val="29"/>
  </w:num>
  <w:num w:numId="28">
    <w:abstractNumId w:val="11"/>
  </w:num>
  <w:num w:numId="29">
    <w:abstractNumId w:val="22"/>
  </w:num>
  <w:num w:numId="30">
    <w:abstractNumId w:val="30"/>
  </w:num>
  <w:num w:numId="31">
    <w:abstractNumId w:val="23"/>
  </w:num>
  <w:num w:numId="32">
    <w:abstractNumId w:val="47"/>
  </w:num>
  <w:num w:numId="33">
    <w:abstractNumId w:val="28"/>
  </w:num>
  <w:num w:numId="34">
    <w:abstractNumId w:val="5"/>
  </w:num>
  <w:num w:numId="35">
    <w:abstractNumId w:val="48"/>
  </w:num>
  <w:num w:numId="36">
    <w:abstractNumId w:val="4"/>
  </w:num>
  <w:num w:numId="37">
    <w:abstractNumId w:val="13"/>
  </w:num>
  <w:num w:numId="38">
    <w:abstractNumId w:val="36"/>
  </w:num>
  <w:num w:numId="39">
    <w:abstractNumId w:val="16"/>
  </w:num>
  <w:num w:numId="40">
    <w:abstractNumId w:val="39"/>
  </w:num>
  <w:num w:numId="41">
    <w:abstractNumId w:val="44"/>
  </w:num>
  <w:num w:numId="42">
    <w:abstractNumId w:val="46"/>
  </w:num>
  <w:num w:numId="43">
    <w:abstractNumId w:val="35"/>
  </w:num>
  <w:num w:numId="4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12"/>
  </w:num>
  <w:num w:numId="47">
    <w:abstractNumId w:val="41"/>
  </w:num>
  <w:num w:numId="48">
    <w:abstractNumId w:val="6"/>
  </w:num>
  <w:num w:numId="49">
    <w:abstractNumId w:val="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14DDB"/>
    <w:rsid w:val="00025419"/>
    <w:rsid w:val="00032118"/>
    <w:rsid w:val="0003468E"/>
    <w:rsid w:val="000352F0"/>
    <w:rsid w:val="00040509"/>
    <w:rsid w:val="00043E5E"/>
    <w:rsid w:val="00044B50"/>
    <w:rsid w:val="000479B3"/>
    <w:rsid w:val="0005757F"/>
    <w:rsid w:val="00062A7C"/>
    <w:rsid w:val="00070555"/>
    <w:rsid w:val="0007281C"/>
    <w:rsid w:val="00073152"/>
    <w:rsid w:val="000732A3"/>
    <w:rsid w:val="00074463"/>
    <w:rsid w:val="00081AAB"/>
    <w:rsid w:val="00084FFA"/>
    <w:rsid w:val="0008654C"/>
    <w:rsid w:val="000913E2"/>
    <w:rsid w:val="000A4E2D"/>
    <w:rsid w:val="000A4FDA"/>
    <w:rsid w:val="000A5F72"/>
    <w:rsid w:val="000B2584"/>
    <w:rsid w:val="000B5D29"/>
    <w:rsid w:val="000C640F"/>
    <w:rsid w:val="000C699D"/>
    <w:rsid w:val="000D2062"/>
    <w:rsid w:val="000D715E"/>
    <w:rsid w:val="000E117C"/>
    <w:rsid w:val="000E1460"/>
    <w:rsid w:val="000E46FA"/>
    <w:rsid w:val="000F17B4"/>
    <w:rsid w:val="000F4FA1"/>
    <w:rsid w:val="001077DC"/>
    <w:rsid w:val="00124F58"/>
    <w:rsid w:val="001266B2"/>
    <w:rsid w:val="001301DF"/>
    <w:rsid w:val="00131E4E"/>
    <w:rsid w:val="00132C47"/>
    <w:rsid w:val="0013431C"/>
    <w:rsid w:val="001361E3"/>
    <w:rsid w:val="00140794"/>
    <w:rsid w:val="0014091C"/>
    <w:rsid w:val="001531E5"/>
    <w:rsid w:val="0015386E"/>
    <w:rsid w:val="00154430"/>
    <w:rsid w:val="001605A0"/>
    <w:rsid w:val="00160B31"/>
    <w:rsid w:val="00160FE0"/>
    <w:rsid w:val="001666F5"/>
    <w:rsid w:val="0017250D"/>
    <w:rsid w:val="001A5473"/>
    <w:rsid w:val="001B7E9B"/>
    <w:rsid w:val="001C5D61"/>
    <w:rsid w:val="001D30AE"/>
    <w:rsid w:val="001E0386"/>
    <w:rsid w:val="001E19D5"/>
    <w:rsid w:val="001E2459"/>
    <w:rsid w:val="001E6C74"/>
    <w:rsid w:val="001F1819"/>
    <w:rsid w:val="001F3E0C"/>
    <w:rsid w:val="002049C5"/>
    <w:rsid w:val="00216974"/>
    <w:rsid w:val="00224140"/>
    <w:rsid w:val="00226503"/>
    <w:rsid w:val="002467D6"/>
    <w:rsid w:val="00250B2A"/>
    <w:rsid w:val="00253494"/>
    <w:rsid w:val="00254A87"/>
    <w:rsid w:val="00256CBD"/>
    <w:rsid w:val="002608D4"/>
    <w:rsid w:val="00260E0D"/>
    <w:rsid w:val="00267A53"/>
    <w:rsid w:val="002702FE"/>
    <w:rsid w:val="002751D2"/>
    <w:rsid w:val="00293B22"/>
    <w:rsid w:val="00294250"/>
    <w:rsid w:val="00294FB6"/>
    <w:rsid w:val="00297AD1"/>
    <w:rsid w:val="002A5283"/>
    <w:rsid w:val="002C24CB"/>
    <w:rsid w:val="002C31ED"/>
    <w:rsid w:val="002C3709"/>
    <w:rsid w:val="002D62AF"/>
    <w:rsid w:val="002E1436"/>
    <w:rsid w:val="002E7240"/>
    <w:rsid w:val="002F54E8"/>
    <w:rsid w:val="00301C13"/>
    <w:rsid w:val="003026A2"/>
    <w:rsid w:val="00303824"/>
    <w:rsid w:val="00306CC6"/>
    <w:rsid w:val="003205FF"/>
    <w:rsid w:val="00321EC8"/>
    <w:rsid w:val="00321FA0"/>
    <w:rsid w:val="00324EE5"/>
    <w:rsid w:val="003305B2"/>
    <w:rsid w:val="00332DE4"/>
    <w:rsid w:val="00341B3E"/>
    <w:rsid w:val="00351487"/>
    <w:rsid w:val="00356B3F"/>
    <w:rsid w:val="0035721F"/>
    <w:rsid w:val="0035735A"/>
    <w:rsid w:val="00367CB1"/>
    <w:rsid w:val="00372F40"/>
    <w:rsid w:val="00375CC7"/>
    <w:rsid w:val="0039183D"/>
    <w:rsid w:val="00391C14"/>
    <w:rsid w:val="00396181"/>
    <w:rsid w:val="00397766"/>
    <w:rsid w:val="003A0BEB"/>
    <w:rsid w:val="003A5822"/>
    <w:rsid w:val="003B11DD"/>
    <w:rsid w:val="003B2B94"/>
    <w:rsid w:val="003B56B0"/>
    <w:rsid w:val="003B72A8"/>
    <w:rsid w:val="003C0774"/>
    <w:rsid w:val="003C5E57"/>
    <w:rsid w:val="003E25A9"/>
    <w:rsid w:val="003F5E08"/>
    <w:rsid w:val="004032C1"/>
    <w:rsid w:val="00407637"/>
    <w:rsid w:val="004120E2"/>
    <w:rsid w:val="00430D77"/>
    <w:rsid w:val="00440EAB"/>
    <w:rsid w:val="00452E65"/>
    <w:rsid w:val="00454B8B"/>
    <w:rsid w:val="00457134"/>
    <w:rsid w:val="00466271"/>
    <w:rsid w:val="0046718C"/>
    <w:rsid w:val="00467508"/>
    <w:rsid w:val="00467595"/>
    <w:rsid w:val="00480FCA"/>
    <w:rsid w:val="0048203B"/>
    <w:rsid w:val="0049303C"/>
    <w:rsid w:val="00496461"/>
    <w:rsid w:val="004A00E3"/>
    <w:rsid w:val="004B3739"/>
    <w:rsid w:val="004B68AF"/>
    <w:rsid w:val="004C10FE"/>
    <w:rsid w:val="004C1BE4"/>
    <w:rsid w:val="004C250E"/>
    <w:rsid w:val="004C27B6"/>
    <w:rsid w:val="004E17F3"/>
    <w:rsid w:val="004E3F57"/>
    <w:rsid w:val="004E4A95"/>
    <w:rsid w:val="004E585C"/>
    <w:rsid w:val="004F2F93"/>
    <w:rsid w:val="004F4C50"/>
    <w:rsid w:val="00506345"/>
    <w:rsid w:val="00516E68"/>
    <w:rsid w:val="00520FA4"/>
    <w:rsid w:val="0052650A"/>
    <w:rsid w:val="005279E8"/>
    <w:rsid w:val="00551920"/>
    <w:rsid w:val="00552817"/>
    <w:rsid w:val="00552A0E"/>
    <w:rsid w:val="00560B0C"/>
    <w:rsid w:val="00560CA3"/>
    <w:rsid w:val="00562B5C"/>
    <w:rsid w:val="00562E59"/>
    <w:rsid w:val="00563F32"/>
    <w:rsid w:val="00574353"/>
    <w:rsid w:val="00585BCF"/>
    <w:rsid w:val="00585ED0"/>
    <w:rsid w:val="00590A7E"/>
    <w:rsid w:val="005916D2"/>
    <w:rsid w:val="00595ED2"/>
    <w:rsid w:val="005A74EC"/>
    <w:rsid w:val="005B6F12"/>
    <w:rsid w:val="005C3743"/>
    <w:rsid w:val="005E00A8"/>
    <w:rsid w:val="005E1DE9"/>
    <w:rsid w:val="005E5E78"/>
    <w:rsid w:val="005F356A"/>
    <w:rsid w:val="00603AAD"/>
    <w:rsid w:val="006068E9"/>
    <w:rsid w:val="006074FF"/>
    <w:rsid w:val="00617A76"/>
    <w:rsid w:val="00617E98"/>
    <w:rsid w:val="00630301"/>
    <w:rsid w:val="00644A95"/>
    <w:rsid w:val="00650A99"/>
    <w:rsid w:val="00652DA3"/>
    <w:rsid w:val="00670D69"/>
    <w:rsid w:val="00672971"/>
    <w:rsid w:val="006756E8"/>
    <w:rsid w:val="0067758A"/>
    <w:rsid w:val="00687B70"/>
    <w:rsid w:val="00692975"/>
    <w:rsid w:val="006A44BD"/>
    <w:rsid w:val="006A5FCB"/>
    <w:rsid w:val="006B765E"/>
    <w:rsid w:val="006D2B4A"/>
    <w:rsid w:val="00700DB0"/>
    <w:rsid w:val="0070120A"/>
    <w:rsid w:val="007062D9"/>
    <w:rsid w:val="00706545"/>
    <w:rsid w:val="00745063"/>
    <w:rsid w:val="00747180"/>
    <w:rsid w:val="00754337"/>
    <w:rsid w:val="00764ABD"/>
    <w:rsid w:val="00770276"/>
    <w:rsid w:val="00770ADC"/>
    <w:rsid w:val="00771928"/>
    <w:rsid w:val="00772FF9"/>
    <w:rsid w:val="00773282"/>
    <w:rsid w:val="00787E63"/>
    <w:rsid w:val="00796DDA"/>
    <w:rsid w:val="007B4882"/>
    <w:rsid w:val="007B70F7"/>
    <w:rsid w:val="007C4270"/>
    <w:rsid w:val="007C5D90"/>
    <w:rsid w:val="007D1CDB"/>
    <w:rsid w:val="007D35EC"/>
    <w:rsid w:val="007F7C04"/>
    <w:rsid w:val="00800EEF"/>
    <w:rsid w:val="008036D7"/>
    <w:rsid w:val="00814D3D"/>
    <w:rsid w:val="00815BFE"/>
    <w:rsid w:val="00815D0B"/>
    <w:rsid w:val="00820529"/>
    <w:rsid w:val="00821EDD"/>
    <w:rsid w:val="00827082"/>
    <w:rsid w:val="00832014"/>
    <w:rsid w:val="008326D2"/>
    <w:rsid w:val="008336D0"/>
    <w:rsid w:val="0086110D"/>
    <w:rsid w:val="00872CA8"/>
    <w:rsid w:val="008761A0"/>
    <w:rsid w:val="00895504"/>
    <w:rsid w:val="00897455"/>
    <w:rsid w:val="008A0D33"/>
    <w:rsid w:val="008A142D"/>
    <w:rsid w:val="008A5D7F"/>
    <w:rsid w:val="008D47FB"/>
    <w:rsid w:val="008E2ADB"/>
    <w:rsid w:val="008E40B7"/>
    <w:rsid w:val="008E6775"/>
    <w:rsid w:val="008F54D6"/>
    <w:rsid w:val="008F6815"/>
    <w:rsid w:val="009058D0"/>
    <w:rsid w:val="00907660"/>
    <w:rsid w:val="00914565"/>
    <w:rsid w:val="00921D04"/>
    <w:rsid w:val="00924723"/>
    <w:rsid w:val="00926B45"/>
    <w:rsid w:val="0093105E"/>
    <w:rsid w:val="009339AC"/>
    <w:rsid w:val="00934CE3"/>
    <w:rsid w:val="00942761"/>
    <w:rsid w:val="00942F02"/>
    <w:rsid w:val="00943029"/>
    <w:rsid w:val="00957662"/>
    <w:rsid w:val="009606B3"/>
    <w:rsid w:val="00966EAD"/>
    <w:rsid w:val="00990B51"/>
    <w:rsid w:val="00991F22"/>
    <w:rsid w:val="009C0615"/>
    <w:rsid w:val="009D7ECE"/>
    <w:rsid w:val="009E27EC"/>
    <w:rsid w:val="009E358A"/>
    <w:rsid w:val="009F3F48"/>
    <w:rsid w:val="009F4469"/>
    <w:rsid w:val="00A00AAE"/>
    <w:rsid w:val="00A04FA7"/>
    <w:rsid w:val="00A1087C"/>
    <w:rsid w:val="00A32BD8"/>
    <w:rsid w:val="00A34FD5"/>
    <w:rsid w:val="00A43B37"/>
    <w:rsid w:val="00A44BFD"/>
    <w:rsid w:val="00A44F64"/>
    <w:rsid w:val="00A47CA0"/>
    <w:rsid w:val="00A55479"/>
    <w:rsid w:val="00A57CC2"/>
    <w:rsid w:val="00A642C7"/>
    <w:rsid w:val="00A65971"/>
    <w:rsid w:val="00A7456E"/>
    <w:rsid w:val="00A7495A"/>
    <w:rsid w:val="00A839F4"/>
    <w:rsid w:val="00A84657"/>
    <w:rsid w:val="00A85837"/>
    <w:rsid w:val="00A926CE"/>
    <w:rsid w:val="00A9371D"/>
    <w:rsid w:val="00AA75DD"/>
    <w:rsid w:val="00AB37B1"/>
    <w:rsid w:val="00AC2B0C"/>
    <w:rsid w:val="00AC6DD0"/>
    <w:rsid w:val="00AC6F1B"/>
    <w:rsid w:val="00AD56DB"/>
    <w:rsid w:val="00AE45E6"/>
    <w:rsid w:val="00AF09B1"/>
    <w:rsid w:val="00AF71D3"/>
    <w:rsid w:val="00B018BC"/>
    <w:rsid w:val="00B11E2E"/>
    <w:rsid w:val="00B179EC"/>
    <w:rsid w:val="00B17D06"/>
    <w:rsid w:val="00B229DE"/>
    <w:rsid w:val="00B235FD"/>
    <w:rsid w:val="00B258AA"/>
    <w:rsid w:val="00B34497"/>
    <w:rsid w:val="00B430BE"/>
    <w:rsid w:val="00B47B96"/>
    <w:rsid w:val="00B5291B"/>
    <w:rsid w:val="00B6483D"/>
    <w:rsid w:val="00B65897"/>
    <w:rsid w:val="00B7024B"/>
    <w:rsid w:val="00B74F06"/>
    <w:rsid w:val="00B773B4"/>
    <w:rsid w:val="00B83BF2"/>
    <w:rsid w:val="00B8540B"/>
    <w:rsid w:val="00B97673"/>
    <w:rsid w:val="00BB2EB5"/>
    <w:rsid w:val="00BB3D88"/>
    <w:rsid w:val="00BC5D7D"/>
    <w:rsid w:val="00BD3082"/>
    <w:rsid w:val="00BE325A"/>
    <w:rsid w:val="00BE6AF5"/>
    <w:rsid w:val="00C0423C"/>
    <w:rsid w:val="00C06948"/>
    <w:rsid w:val="00C1024D"/>
    <w:rsid w:val="00C20CA8"/>
    <w:rsid w:val="00C276A2"/>
    <w:rsid w:val="00C334D1"/>
    <w:rsid w:val="00C35423"/>
    <w:rsid w:val="00C36BE7"/>
    <w:rsid w:val="00C404DC"/>
    <w:rsid w:val="00C43064"/>
    <w:rsid w:val="00C54674"/>
    <w:rsid w:val="00C6685D"/>
    <w:rsid w:val="00C70370"/>
    <w:rsid w:val="00C81FC2"/>
    <w:rsid w:val="00C83948"/>
    <w:rsid w:val="00CB47E0"/>
    <w:rsid w:val="00CB631D"/>
    <w:rsid w:val="00CB68D9"/>
    <w:rsid w:val="00CC0170"/>
    <w:rsid w:val="00CC0F10"/>
    <w:rsid w:val="00CC38D6"/>
    <w:rsid w:val="00CC6A4F"/>
    <w:rsid w:val="00CC74DC"/>
    <w:rsid w:val="00CD5CCB"/>
    <w:rsid w:val="00CE3D10"/>
    <w:rsid w:val="00CE6524"/>
    <w:rsid w:val="00CF0493"/>
    <w:rsid w:val="00CF6745"/>
    <w:rsid w:val="00D42439"/>
    <w:rsid w:val="00D718F8"/>
    <w:rsid w:val="00D71C09"/>
    <w:rsid w:val="00D774B6"/>
    <w:rsid w:val="00D81436"/>
    <w:rsid w:val="00D84D2D"/>
    <w:rsid w:val="00DA07E0"/>
    <w:rsid w:val="00DA76D0"/>
    <w:rsid w:val="00DB2278"/>
    <w:rsid w:val="00DD0981"/>
    <w:rsid w:val="00DD23B0"/>
    <w:rsid w:val="00DD5CA9"/>
    <w:rsid w:val="00DD73D2"/>
    <w:rsid w:val="00E00EAB"/>
    <w:rsid w:val="00E06024"/>
    <w:rsid w:val="00E22BA0"/>
    <w:rsid w:val="00E37DA4"/>
    <w:rsid w:val="00E438FA"/>
    <w:rsid w:val="00E44E11"/>
    <w:rsid w:val="00E562E9"/>
    <w:rsid w:val="00E745B9"/>
    <w:rsid w:val="00E80CF1"/>
    <w:rsid w:val="00EA5410"/>
    <w:rsid w:val="00ED18CB"/>
    <w:rsid w:val="00F067EF"/>
    <w:rsid w:val="00F11CE8"/>
    <w:rsid w:val="00F148C5"/>
    <w:rsid w:val="00F152E9"/>
    <w:rsid w:val="00F413A2"/>
    <w:rsid w:val="00F56A4B"/>
    <w:rsid w:val="00F57D5F"/>
    <w:rsid w:val="00F64422"/>
    <w:rsid w:val="00F74102"/>
    <w:rsid w:val="00F74A4C"/>
    <w:rsid w:val="00FA4C6D"/>
    <w:rsid w:val="00FB1D70"/>
    <w:rsid w:val="00FB79CA"/>
    <w:rsid w:val="00FC413F"/>
    <w:rsid w:val="00FD1869"/>
    <w:rsid w:val="00FD52EC"/>
    <w:rsid w:val="00FD731B"/>
    <w:rsid w:val="00FE438F"/>
    <w:rsid w:val="00FE5384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1987ADDD-7582-4552-AA96-0805134E3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10</Pages>
  <Words>2316</Words>
  <Characters>12742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17</cp:revision>
  <cp:lastPrinted>2016-12-25T21:56:00Z</cp:lastPrinted>
  <dcterms:created xsi:type="dcterms:W3CDTF">2016-10-20T22:32:00Z</dcterms:created>
  <dcterms:modified xsi:type="dcterms:W3CDTF">2016-12-25T21:56:00Z</dcterms:modified>
</cp:coreProperties>
</file>