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1D" w:rsidRPr="00EA2D8B" w:rsidRDefault="00524E1D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 w:rsidRPr="00EA2D8B">
        <w:rPr>
          <w:rFonts w:ascii="Tahoma" w:hAnsi="Tahoma" w:cs="Tahoma"/>
          <w:b/>
        </w:rPr>
        <w:t>INFORME FISCAL Y FINANCIERO</w:t>
      </w:r>
    </w:p>
    <w:p w:rsidR="00524E1D" w:rsidRPr="00EA2D8B" w:rsidRDefault="00F6393E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UNIVERSIDAD DEL TOLIMA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9D4B99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>
        <w:rPr>
          <w:rFonts w:ascii="Tahoma" w:hAnsi="Tahoma" w:cs="Tahoma"/>
          <w:b w:val="0"/>
          <w:sz w:val="22"/>
          <w:szCs w:val="22"/>
        </w:rPr>
        <w:t>Gastos de la vigencia 2015</w:t>
      </w:r>
      <w:r w:rsidRPr="009D4B99">
        <w:rPr>
          <w:rFonts w:ascii="Tahoma" w:hAnsi="Tahoma" w:cs="Tahoma"/>
          <w:b w:val="0"/>
          <w:sz w:val="22"/>
          <w:szCs w:val="22"/>
        </w:rPr>
        <w:t xml:space="preserve">, estableciendo un </w:t>
      </w:r>
      <w:r>
        <w:rPr>
          <w:rFonts w:ascii="Tahoma" w:hAnsi="Tahoma" w:cs="Tahoma"/>
          <w:b w:val="0"/>
          <w:sz w:val="22"/>
          <w:szCs w:val="22"/>
        </w:rPr>
        <w:t>comparativo con la vigencia 2014.</w:t>
      </w:r>
    </w:p>
    <w:p w:rsidR="009D4B99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>
        <w:rPr>
          <w:lang w:val="es-ES" w:eastAsia="es-ES"/>
        </w:rPr>
        <w:tab/>
      </w:r>
      <w:r w:rsidR="00736B63">
        <w:rPr>
          <w:lang w:val="es-ES" w:eastAsia="es-ES"/>
        </w:rPr>
        <w:tab/>
      </w:r>
    </w:p>
    <w:p w:rsidR="009D4B99" w:rsidRPr="00231ECA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231ECA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231ECA">
        <w:rPr>
          <w:rFonts w:ascii="Tahoma" w:hAnsi="Tahoma" w:cs="Tahoma"/>
          <w:color w:val="000000" w:themeColor="text1"/>
        </w:rPr>
        <w:t>rmación Financiera Pública Chip</w:t>
      </w:r>
      <w:r w:rsidR="00485A4C" w:rsidRPr="00231ECA">
        <w:rPr>
          <w:rFonts w:ascii="Tahoma" w:hAnsi="Tahoma" w:cs="Tahoma"/>
          <w:color w:val="000000" w:themeColor="text1"/>
        </w:rPr>
        <w:t xml:space="preserve">, información de la Contraloría General de la República y la </w:t>
      </w:r>
      <w:r w:rsidR="00EC36EF" w:rsidRPr="00231ECA">
        <w:rPr>
          <w:rFonts w:ascii="Tahoma" w:hAnsi="Tahoma" w:cs="Tahoma"/>
          <w:color w:val="000000" w:themeColor="text1"/>
        </w:rPr>
        <w:t>información presupuestal suministrada por el ente Territorial.</w:t>
      </w: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F6393E" w:rsidRDefault="00F6393E" w:rsidP="00F6393E">
      <w:pPr>
        <w:jc w:val="both"/>
        <w:rPr>
          <w:rFonts w:ascii="Tahoma" w:hAnsi="Tahoma" w:cs="Tahoma"/>
        </w:rPr>
      </w:pPr>
      <w:r w:rsidRPr="002135D9">
        <w:rPr>
          <w:rFonts w:ascii="Tahoma" w:hAnsi="Tahoma" w:cs="Tahoma"/>
        </w:rPr>
        <w:t xml:space="preserve">El presupuesto de Rentas y Recursos de Capital y Apropiaciones </w:t>
      </w:r>
      <w:r>
        <w:rPr>
          <w:rFonts w:ascii="Tahoma" w:hAnsi="Tahoma" w:cs="Tahoma"/>
        </w:rPr>
        <w:t>para la vigencia 2015</w:t>
      </w:r>
      <w:r w:rsidRPr="002135D9">
        <w:rPr>
          <w:rFonts w:ascii="Tahoma" w:hAnsi="Tahoma" w:cs="Tahoma"/>
        </w:rPr>
        <w:t xml:space="preserve">, fue aprobado </w:t>
      </w:r>
      <w:r>
        <w:rPr>
          <w:rFonts w:ascii="Tahoma" w:hAnsi="Tahoma" w:cs="Tahoma"/>
        </w:rPr>
        <w:t xml:space="preserve">por el Consejo Superior </w:t>
      </w:r>
      <w:r w:rsidRPr="002135D9">
        <w:rPr>
          <w:rFonts w:ascii="Tahoma" w:hAnsi="Tahoma" w:cs="Tahoma"/>
        </w:rPr>
        <w:t>mediante acuerdo 0</w:t>
      </w:r>
      <w:r>
        <w:rPr>
          <w:rFonts w:ascii="Tahoma" w:hAnsi="Tahoma" w:cs="Tahoma"/>
        </w:rPr>
        <w:t>41</w:t>
      </w:r>
      <w:r w:rsidRPr="002135D9">
        <w:rPr>
          <w:rFonts w:ascii="Tahoma" w:hAnsi="Tahoma" w:cs="Tahoma"/>
        </w:rPr>
        <w:t xml:space="preserve"> del 1</w:t>
      </w:r>
      <w:r>
        <w:rPr>
          <w:rFonts w:ascii="Tahoma" w:hAnsi="Tahoma" w:cs="Tahoma"/>
        </w:rPr>
        <w:t>2</w:t>
      </w:r>
      <w:r w:rsidRPr="002135D9">
        <w:rPr>
          <w:rFonts w:ascii="Tahoma" w:hAnsi="Tahoma" w:cs="Tahoma"/>
        </w:rPr>
        <w:t xml:space="preserve"> de Diciembre de 201</w:t>
      </w:r>
      <w:r>
        <w:rPr>
          <w:rFonts w:ascii="Tahoma" w:hAnsi="Tahoma" w:cs="Tahoma"/>
        </w:rPr>
        <w:t>4</w:t>
      </w:r>
      <w:r w:rsidRPr="002135D9">
        <w:rPr>
          <w:rFonts w:ascii="Tahoma" w:hAnsi="Tahoma" w:cs="Tahoma"/>
        </w:rPr>
        <w:t>, en la cuantía de $1</w:t>
      </w:r>
      <w:r>
        <w:rPr>
          <w:rFonts w:ascii="Tahoma" w:hAnsi="Tahoma" w:cs="Tahoma"/>
        </w:rPr>
        <w:t>70.009.599.681.47</w:t>
      </w:r>
      <w:r w:rsidRPr="002135D9">
        <w:rPr>
          <w:rFonts w:ascii="Tahoma" w:hAnsi="Tahoma" w:cs="Tahoma"/>
        </w:rPr>
        <w:t>.oo</w:t>
      </w:r>
      <w:r>
        <w:rPr>
          <w:rFonts w:ascii="Tahoma" w:hAnsi="Tahoma" w:cs="Tahoma"/>
        </w:rPr>
        <w:t>; con Resolución Rectoral No. 2201 del 30 de Diciembre de 2014 el Rector realiza la distribución y clasificación del presupuesto de Ingresos y Gastos de la Universidad para la vigencia 2015.</w:t>
      </w:r>
    </w:p>
    <w:p w:rsidR="00EC36EF" w:rsidRPr="00231ECA" w:rsidRDefault="00504C03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231ECA">
        <w:rPr>
          <w:rFonts w:ascii="Tahoma" w:eastAsiaTheme="minorHAnsi" w:hAnsi="Tahoma" w:cs="Tahoma"/>
          <w:color w:val="auto"/>
          <w:lang w:eastAsia="en-US"/>
        </w:rPr>
        <w:t>El presupuesto Municipal, es por excelencia una de las principales herramientas de planeación</w:t>
      </w:r>
      <w:r w:rsidR="00AE23D3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Proyectar los ingresos y rentas a percibir durante la vigencia fiscal y autorizar los respectivos gastos e inversiones; Atender criterios de prioridad, de los programas y proyectos contenidos en el Plan de Desarrollo, y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Alcanzar objetivos financieros, que no son otra cosa que adecuar el comportamiento real de los ingresos a las proyecciones contenidas en el Plan de Desarrollo.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</w:rPr>
      </w:pPr>
    </w:p>
    <w:p w:rsidR="009848DF" w:rsidRPr="00231ECA" w:rsidRDefault="009848DF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</w:rPr>
      </w:pPr>
    </w:p>
    <w:p w:rsidR="009848DF" w:rsidRDefault="009848DF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</w:rPr>
      </w:pPr>
    </w:p>
    <w:p w:rsidR="00CB6D39" w:rsidRDefault="00CB6D39" w:rsidP="00DF6119">
      <w:pPr>
        <w:spacing w:before="0" w:after="0" w:line="228" w:lineRule="auto"/>
        <w:jc w:val="both"/>
        <w:rPr>
          <w:rFonts w:ascii="Tahoma" w:hAnsi="Tahoma" w:cs="Tahoma"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>e</w:t>
      </w:r>
      <w:r w:rsidR="00D2101C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>l</w:t>
      </w:r>
      <w:r w:rsidR="00D2101C">
        <w:rPr>
          <w:rFonts w:ascii="Tahoma" w:hAnsi="Tahoma" w:cs="Tahoma"/>
        </w:rPr>
        <w:t>a</w:t>
      </w:r>
      <w:r w:rsidR="009848DF">
        <w:rPr>
          <w:rFonts w:ascii="Tahoma" w:hAnsi="Tahoma" w:cs="Tahoma"/>
        </w:rPr>
        <w:t xml:space="preserve"> </w:t>
      </w:r>
      <w:r w:rsidR="00D2101C">
        <w:rPr>
          <w:rFonts w:ascii="Tahoma" w:hAnsi="Tahoma" w:cs="Tahoma"/>
        </w:rPr>
        <w:t xml:space="preserve">Universidad del Tolima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9848DF">
        <w:rPr>
          <w:rFonts w:ascii="Tahoma" w:hAnsi="Tahoma" w:cs="Tahoma"/>
        </w:rPr>
        <w:t xml:space="preserve">de </w:t>
      </w:r>
      <w:r w:rsidR="00D2101C" w:rsidRPr="002135D9">
        <w:rPr>
          <w:rFonts w:ascii="Tahoma" w:hAnsi="Tahoma" w:cs="Tahoma"/>
        </w:rPr>
        <w:t>$1</w:t>
      </w:r>
      <w:r w:rsidR="00D2101C">
        <w:rPr>
          <w:rFonts w:ascii="Tahoma" w:hAnsi="Tahoma" w:cs="Tahoma"/>
        </w:rPr>
        <w:t>70.009.599.681.47</w:t>
      </w:r>
      <w:r w:rsidR="00D2101C" w:rsidRPr="002135D9">
        <w:rPr>
          <w:rFonts w:ascii="Tahoma" w:hAnsi="Tahoma" w:cs="Tahoma"/>
        </w:rPr>
        <w:t xml:space="preserve">, </w:t>
      </w:r>
      <w:r w:rsidR="00D2101C">
        <w:rPr>
          <w:rFonts w:ascii="Tahoma" w:hAnsi="Tahoma" w:cs="Tahoma"/>
        </w:rPr>
        <w:t xml:space="preserve">tuvo adiciones en $64.733.857.792.oo, Reducciones en la suma de $40.903.638.563.oo, </w:t>
      </w:r>
      <w:r w:rsidR="00D2101C" w:rsidRPr="002135D9">
        <w:rPr>
          <w:rFonts w:ascii="Tahoma" w:hAnsi="Tahoma" w:cs="Tahoma"/>
        </w:rPr>
        <w:t xml:space="preserve">para un presupuesto definitivo </w:t>
      </w:r>
      <w:r w:rsidR="00D2101C" w:rsidRPr="00C11480">
        <w:rPr>
          <w:rFonts w:ascii="Tahoma" w:hAnsi="Tahoma" w:cs="Tahoma"/>
          <w:b/>
        </w:rPr>
        <w:t>de $193.839.818.911.oo</w:t>
      </w:r>
      <w:r w:rsidR="00D2101C">
        <w:rPr>
          <w:rFonts w:ascii="Tahoma" w:hAnsi="Tahoma" w:cs="Tahoma"/>
          <w:b/>
        </w:rPr>
        <w:t>.</w:t>
      </w:r>
      <w:r w:rsidR="00D2101C" w:rsidRPr="002135D9">
        <w:rPr>
          <w:rFonts w:ascii="Tahoma" w:hAnsi="Tahoma" w:cs="Tahoma"/>
        </w:rPr>
        <w:t xml:space="preserve"> 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1985"/>
        <w:gridCol w:w="2428"/>
      </w:tblGrid>
      <w:tr w:rsidR="008B0625" w:rsidRPr="00BA1DE4" w:rsidTr="00D2101C">
        <w:trPr>
          <w:trHeight w:val="327"/>
        </w:trPr>
        <w:tc>
          <w:tcPr>
            <w:tcW w:w="2376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985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D2101C">
        <w:trPr>
          <w:trHeight w:val="551"/>
        </w:trPr>
        <w:tc>
          <w:tcPr>
            <w:tcW w:w="2376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hAnsi="Tahoma" w:cs="Tahoma"/>
                <w:color w:val="auto"/>
                <w:sz w:val="20"/>
                <w:szCs w:val="20"/>
              </w:rPr>
              <w:t>170.009.599.681.47</w:t>
            </w: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2268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hAnsi="Tahoma" w:cs="Tahoma"/>
                <w:color w:val="auto"/>
                <w:sz w:val="20"/>
                <w:szCs w:val="20"/>
              </w:rPr>
              <w:t>64.733.857.792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  <w:tc>
          <w:tcPr>
            <w:tcW w:w="1985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40.903.638</w:t>
            </w:r>
            <w:r w:rsidR="00A31BD0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</w:t>
            </w:r>
            <w:r w:rsidR="00D2101C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563.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oo</w:t>
            </w:r>
          </w:p>
        </w:tc>
        <w:tc>
          <w:tcPr>
            <w:tcW w:w="2428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193.839.818.911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 w:rsidR="00D2101C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>l</w:t>
      </w:r>
      <w:r w:rsidR="00D2101C">
        <w:rPr>
          <w:rFonts w:ascii="Tahoma" w:eastAsia="Times New Roman" w:hAnsi="Tahoma" w:cs="Tahoma"/>
          <w:bCs/>
          <w:color w:val="auto"/>
          <w:vertAlign w:val="subscript"/>
        </w:rPr>
        <w:t>a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D2101C">
        <w:rPr>
          <w:rFonts w:ascii="Tahoma" w:eastAsia="Times New Roman" w:hAnsi="Tahoma" w:cs="Tahoma"/>
          <w:bCs/>
          <w:color w:val="auto"/>
          <w:vertAlign w:val="subscript"/>
        </w:rPr>
        <w:t>Universidad del Tolima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>
            <wp:extent cx="5097780" cy="3108960"/>
            <wp:effectExtent l="0" t="0" r="26670" b="1524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F8609F" w:rsidRDefault="00F8609F" w:rsidP="009A7AA1">
      <w:pPr>
        <w:jc w:val="both"/>
        <w:rPr>
          <w:rFonts w:ascii="Tahoma" w:eastAsia="Times New Roman" w:hAnsi="Tahoma" w:cs="Tahoma"/>
          <w:color w:val="auto"/>
        </w:rPr>
      </w:pPr>
    </w:p>
    <w:p w:rsidR="00231ECA" w:rsidRDefault="00231ECA" w:rsidP="00685EF4">
      <w:pPr>
        <w:rPr>
          <w:rFonts w:ascii="Tahoma" w:eastAsia="Times New Roman" w:hAnsi="Tahoma" w:cs="Tahoma"/>
          <w:b/>
          <w:color w:val="auto"/>
        </w:rPr>
      </w:pPr>
    </w:p>
    <w:p w:rsidR="00F8609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lastRenderedPageBreak/>
        <w:t>PRESUPUESTO INICIAL DE INGRESOS</w:t>
      </w:r>
    </w:p>
    <w:p w:rsidR="00231ECA" w:rsidRDefault="00231ECA" w:rsidP="00685EF4">
      <w:pPr>
        <w:rPr>
          <w:rFonts w:ascii="Tahoma" w:eastAsia="Times New Roman" w:hAnsi="Tahoma" w:cs="Tahoma"/>
          <w:b/>
          <w:color w:val="auto"/>
        </w:rPr>
      </w:pPr>
    </w:p>
    <w:p w:rsidR="009A7AA1" w:rsidRDefault="001C15AD" w:rsidP="001C15AD">
      <w:pPr>
        <w:jc w:val="center"/>
        <w:rPr>
          <w:rFonts w:ascii="Tahoma" w:eastAsia="Times New Roman" w:hAnsi="Tahoma" w:cs="Tahoma"/>
          <w:color w:val="auto"/>
        </w:rPr>
      </w:pPr>
      <w:r w:rsidRPr="001C15AD">
        <w:rPr>
          <w:noProof/>
        </w:rPr>
        <w:drawing>
          <wp:inline distT="0" distB="0" distL="0" distR="0" wp14:anchorId="5EE079F0" wp14:editId="64B2C3B4">
            <wp:extent cx="3878916" cy="1501270"/>
            <wp:effectExtent l="0" t="0" r="762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8916" cy="15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ECA" w:rsidRDefault="00231ECA" w:rsidP="00685EF4">
      <w:pPr>
        <w:jc w:val="both"/>
        <w:rPr>
          <w:rFonts w:ascii="Tahoma" w:eastAsia="Times New Roman" w:hAnsi="Tahoma" w:cs="Tahoma"/>
          <w:bCs/>
          <w:color w:val="auto"/>
        </w:rPr>
      </w:pPr>
    </w:p>
    <w:p w:rsidR="00685EF4" w:rsidRDefault="00685EF4" w:rsidP="00591B11">
      <w:pPr>
        <w:jc w:val="both"/>
        <w:rPr>
          <w:rFonts w:ascii="Tahoma" w:eastAsia="Times New Roman" w:hAnsi="Tahoma" w:cs="Tahoma"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 xml:space="preserve">El presupuesto Inicial de ingresos se dividió en: </w:t>
      </w:r>
      <w:r w:rsidR="001C15AD">
        <w:rPr>
          <w:rFonts w:ascii="Tahoma" w:eastAsia="Times New Roman" w:hAnsi="Tahoma" w:cs="Tahoma"/>
          <w:bCs/>
          <w:color w:val="auto"/>
        </w:rPr>
        <w:t>Rentas Propias con un 28.98%</w:t>
      </w:r>
      <w:r>
        <w:rPr>
          <w:rFonts w:ascii="Tahoma" w:eastAsia="Times New Roman" w:hAnsi="Tahoma" w:cs="Tahoma"/>
          <w:bCs/>
          <w:color w:val="auto"/>
        </w:rPr>
        <w:t>, equivalentes a</w:t>
      </w:r>
      <w:r w:rsidRPr="009A7AA1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$</w:t>
      </w:r>
      <w:r w:rsidR="001C15AD">
        <w:rPr>
          <w:rFonts w:ascii="Tahoma" w:eastAsia="Times New Roman" w:hAnsi="Tahoma" w:cs="Tahoma"/>
          <w:bCs/>
          <w:color w:val="auto"/>
        </w:rPr>
        <w:t>49.266</w:t>
      </w:r>
      <w:r w:rsidR="00511C4D">
        <w:rPr>
          <w:rFonts w:ascii="Tahoma" w:eastAsia="Times New Roman" w:hAnsi="Tahoma" w:cs="Tahoma"/>
          <w:color w:val="auto"/>
        </w:rPr>
        <w:t xml:space="preserve"> millones,</w:t>
      </w:r>
      <w:r>
        <w:rPr>
          <w:rFonts w:ascii="Tahoma" w:eastAsia="Times New Roman" w:hAnsi="Tahoma" w:cs="Tahoma"/>
          <w:color w:val="auto"/>
        </w:rPr>
        <w:t xml:space="preserve"> </w:t>
      </w:r>
      <w:r w:rsidR="001C15AD">
        <w:rPr>
          <w:rFonts w:ascii="Tahoma" w:eastAsia="Times New Roman" w:hAnsi="Tahoma" w:cs="Tahoma"/>
          <w:color w:val="auto"/>
        </w:rPr>
        <w:t xml:space="preserve">Transferencias Recibidas con un 44.66% equivalentes a $75.930 millones y Recursos de Capital 20.47%, equivalentes a $34.805 millones.  </w:t>
      </w:r>
    </w:p>
    <w:p w:rsidR="004F7C44" w:rsidRDefault="004F7C44" w:rsidP="000653AB">
      <w:pPr>
        <w:tabs>
          <w:tab w:val="left" w:pos="2835"/>
        </w:tabs>
        <w:spacing w:before="0" w:after="0" w:line="19" w:lineRule="atLeast"/>
        <w:jc w:val="right"/>
        <w:rPr>
          <w:rFonts w:ascii="Tahoma" w:eastAsia="Times New Roman" w:hAnsi="Tahoma" w:cs="Tahoma"/>
          <w:bCs/>
          <w:color w:val="auto"/>
        </w:rPr>
      </w:pPr>
    </w:p>
    <w:p w:rsidR="00DE4790" w:rsidRDefault="00AE23D3" w:rsidP="00685EF4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/>
          <w:bCs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drawing>
          <wp:inline distT="0" distB="0" distL="0" distR="0" wp14:anchorId="77DF4E74" wp14:editId="4CD1BC8A">
            <wp:extent cx="4937760" cy="2529840"/>
            <wp:effectExtent l="0" t="0" r="15240" b="2286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31ECA" w:rsidRDefault="00231ECA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521391" w:rsidRPr="00521391" w:rsidRDefault="00521391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 w:rsidR="00800EA9">
        <w:rPr>
          <w:rFonts w:ascii="Tahoma" w:eastAsia="Times New Roman" w:hAnsi="Tahoma" w:cs="Tahoma"/>
          <w:b/>
          <w:bCs/>
          <w:color w:val="auto"/>
        </w:rPr>
        <w:t xml:space="preserve"> </w:t>
      </w:r>
      <w:r w:rsidR="00CB6457">
        <w:rPr>
          <w:rFonts w:ascii="Tahoma" w:eastAsia="Times New Roman" w:hAnsi="Tahoma" w:cs="Tahoma"/>
          <w:b/>
          <w:bCs/>
          <w:color w:val="auto"/>
        </w:rPr>
        <w:t xml:space="preserve">DE INGRESOS </w:t>
      </w:r>
      <w:r w:rsidR="00800EA9">
        <w:rPr>
          <w:rFonts w:ascii="Tahoma" w:eastAsia="Times New Roman" w:hAnsi="Tahoma" w:cs="Tahoma"/>
          <w:b/>
          <w:bCs/>
          <w:color w:val="auto"/>
        </w:rPr>
        <w:t>(ADICIONES)</w:t>
      </w:r>
    </w:p>
    <w:p w:rsidR="00521391" w:rsidRDefault="00521391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EE40F7" w:rsidRDefault="00773547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 de</w:t>
      </w:r>
      <w:r w:rsidR="004264E0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l</w:t>
      </w:r>
      <w:r w:rsidR="004264E0">
        <w:rPr>
          <w:rFonts w:ascii="Tahoma" w:eastAsia="Times New Roman" w:hAnsi="Tahoma" w:cs="Tahoma"/>
          <w:bCs/>
          <w:color w:val="auto"/>
        </w:rPr>
        <w:t>a</w:t>
      </w:r>
      <w:r>
        <w:rPr>
          <w:rFonts w:ascii="Tahoma" w:eastAsia="Times New Roman" w:hAnsi="Tahoma" w:cs="Tahoma"/>
          <w:bCs/>
          <w:color w:val="auto"/>
        </w:rPr>
        <w:t xml:space="preserve"> </w:t>
      </w:r>
      <w:r w:rsidR="004264E0">
        <w:rPr>
          <w:rFonts w:ascii="Tahoma" w:eastAsia="Times New Roman" w:hAnsi="Tahoma" w:cs="Tahoma"/>
          <w:bCs/>
          <w:color w:val="auto"/>
        </w:rPr>
        <w:t>Universidad del Tolima</w:t>
      </w:r>
      <w:r w:rsidR="00FA4922">
        <w:rPr>
          <w:rFonts w:ascii="Tahoma" w:eastAsia="Times New Roman" w:hAnsi="Tahoma" w:cs="Tahoma"/>
          <w:bCs/>
          <w:color w:val="auto"/>
        </w:rPr>
        <w:t xml:space="preserve"> fue adicionado en un </w:t>
      </w:r>
      <w:r w:rsidR="004264E0">
        <w:rPr>
          <w:rFonts w:ascii="Tahoma" w:eastAsia="Times New Roman" w:hAnsi="Tahoma" w:cs="Tahoma"/>
          <w:bCs/>
          <w:color w:val="auto"/>
        </w:rPr>
        <w:t>38.08</w:t>
      </w:r>
      <w:r w:rsidR="00FA4922">
        <w:rPr>
          <w:rFonts w:ascii="Tahoma" w:eastAsia="Times New Roman" w:hAnsi="Tahoma" w:cs="Tahoma"/>
          <w:bCs/>
          <w:color w:val="auto"/>
        </w:rPr>
        <w:t xml:space="preserve">%, equivalentes a </w:t>
      </w:r>
      <w:r w:rsidR="00782F33">
        <w:rPr>
          <w:rFonts w:ascii="Tahoma" w:eastAsia="Times New Roman" w:hAnsi="Tahoma" w:cs="Tahoma"/>
          <w:bCs/>
          <w:color w:val="auto"/>
        </w:rPr>
        <w:t>$</w:t>
      </w:r>
      <w:r w:rsidR="004264E0">
        <w:rPr>
          <w:rFonts w:ascii="Tahoma" w:eastAsia="Times New Roman" w:hAnsi="Tahoma" w:cs="Tahoma"/>
          <w:bCs/>
          <w:color w:val="auto"/>
        </w:rPr>
        <w:t>64.733</w:t>
      </w:r>
      <w:r w:rsidR="00782F33">
        <w:rPr>
          <w:rFonts w:ascii="Tahoma" w:eastAsia="Times New Roman" w:hAnsi="Tahoma" w:cs="Tahoma"/>
          <w:bCs/>
          <w:color w:val="auto"/>
        </w:rPr>
        <w:t xml:space="preserve"> millones</w:t>
      </w:r>
      <w:r>
        <w:rPr>
          <w:rFonts w:ascii="Tahoma" w:eastAsia="Times New Roman" w:hAnsi="Tahoma" w:cs="Tahoma"/>
          <w:bCs/>
          <w:color w:val="auto"/>
        </w:rPr>
        <w:t xml:space="preserve"> y l</w:t>
      </w:r>
      <w:r w:rsidR="00521391">
        <w:rPr>
          <w:rFonts w:ascii="Tahoma" w:eastAsia="Times New Roman" w:hAnsi="Tahoma" w:cs="Tahoma"/>
          <w:bCs/>
          <w:color w:val="auto"/>
        </w:rPr>
        <w:t xml:space="preserve">as principales modificaciones </w:t>
      </w:r>
      <w:r w:rsidR="00C22DBE">
        <w:rPr>
          <w:rFonts w:ascii="Tahoma" w:eastAsia="Times New Roman" w:hAnsi="Tahoma" w:cs="Tahoma"/>
          <w:bCs/>
          <w:color w:val="auto"/>
        </w:rPr>
        <w:t xml:space="preserve">se realizaron en </w:t>
      </w:r>
      <w:r w:rsidR="00521391">
        <w:rPr>
          <w:rFonts w:ascii="Tahoma" w:eastAsia="Times New Roman" w:hAnsi="Tahoma" w:cs="Tahoma"/>
          <w:bCs/>
          <w:color w:val="auto"/>
        </w:rPr>
        <w:t>Recursos de Capital</w:t>
      </w:r>
      <w:r>
        <w:rPr>
          <w:rFonts w:ascii="Tahoma" w:eastAsia="Times New Roman" w:hAnsi="Tahoma" w:cs="Tahoma"/>
          <w:bCs/>
          <w:color w:val="auto"/>
        </w:rPr>
        <w:t xml:space="preserve"> en la suma de $</w:t>
      </w:r>
      <w:r w:rsidR="004264E0">
        <w:rPr>
          <w:rFonts w:ascii="Tahoma" w:eastAsia="Times New Roman" w:hAnsi="Tahoma" w:cs="Tahoma"/>
          <w:bCs/>
          <w:color w:val="auto"/>
        </w:rPr>
        <w:t xml:space="preserve">27.818 </w:t>
      </w:r>
      <w:r w:rsidR="00782F33">
        <w:rPr>
          <w:rFonts w:ascii="Tahoma" w:eastAsia="Times New Roman" w:hAnsi="Tahoma" w:cs="Tahoma"/>
          <w:bCs/>
          <w:color w:val="auto"/>
        </w:rPr>
        <w:t>millones</w:t>
      </w:r>
      <w:r w:rsidR="00521391">
        <w:rPr>
          <w:rFonts w:ascii="Tahoma" w:eastAsia="Times New Roman" w:hAnsi="Tahoma" w:cs="Tahoma"/>
          <w:bCs/>
          <w:color w:val="auto"/>
        </w:rPr>
        <w:t xml:space="preserve"> y</w:t>
      </w:r>
      <w:r w:rsidR="004264E0">
        <w:rPr>
          <w:rFonts w:ascii="Tahoma" w:eastAsia="Times New Roman" w:hAnsi="Tahoma" w:cs="Tahoma"/>
          <w:bCs/>
          <w:color w:val="auto"/>
        </w:rPr>
        <w:t xml:space="preserve"> fondos en la suma de $32.158 millones</w:t>
      </w:r>
      <w:r w:rsidR="002D5091">
        <w:rPr>
          <w:rFonts w:ascii="Tahoma" w:eastAsia="Times New Roman" w:hAnsi="Tahoma" w:cs="Tahoma"/>
          <w:bCs/>
          <w:color w:val="auto"/>
        </w:rPr>
        <w:t>.</w:t>
      </w:r>
      <w:r w:rsidR="00EE543C">
        <w:rPr>
          <w:rFonts w:ascii="Tahoma" w:eastAsia="Times New Roman" w:hAnsi="Tahoma" w:cs="Tahoma"/>
          <w:bCs/>
          <w:color w:val="auto"/>
        </w:rPr>
        <w:t xml:space="preserve"> Ver tabla.</w:t>
      </w:r>
    </w:p>
    <w:p w:rsidR="00231AC8" w:rsidRDefault="00231AC8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231AC8" w:rsidRDefault="00394E7D" w:rsidP="00231AC8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 w:rsidRPr="00394E7D">
        <w:rPr>
          <w:noProof/>
        </w:rPr>
        <w:drawing>
          <wp:inline distT="0" distB="0" distL="0" distR="0" wp14:anchorId="6772949B" wp14:editId="31BBF5BF">
            <wp:extent cx="5612130" cy="1381125"/>
            <wp:effectExtent l="0" t="0" r="762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0F7" w:rsidRDefault="00EE40F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B33ABA" w:rsidRDefault="00B33ABA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B33ABA">
        <w:rPr>
          <w:rFonts w:ascii="Tahoma" w:eastAsia="Times New Roman" w:hAnsi="Tahoma" w:cs="Tahoma"/>
          <w:b/>
          <w:bCs/>
          <w:color w:val="auto"/>
        </w:rPr>
        <w:t>FUENTES DE FINANCIACION PRESUPUESTO</w:t>
      </w:r>
    </w:p>
    <w:p w:rsidR="00B33ABA" w:rsidRPr="00B33ABA" w:rsidRDefault="00B33ABA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394E7D" w:rsidRDefault="00394E7D" w:rsidP="00394E7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principales fuentes que financiaron el presupuesto de  la Universidad del Tolima fueron: </w:t>
      </w:r>
    </w:p>
    <w:p w:rsidR="00394E7D" w:rsidRDefault="00394E7D" w:rsidP="00394E7D">
      <w:pPr>
        <w:jc w:val="both"/>
        <w:rPr>
          <w:rFonts w:ascii="Tahoma" w:hAnsi="Tahoma" w:cs="Tahoma"/>
          <w:u w:val="single"/>
        </w:rPr>
      </w:pPr>
      <w:r w:rsidRPr="00793B35">
        <w:rPr>
          <w:noProof/>
        </w:rPr>
        <w:drawing>
          <wp:inline distT="0" distB="0" distL="0" distR="0" wp14:anchorId="133F34CC" wp14:editId="7AD9265C">
            <wp:extent cx="5615940" cy="1303020"/>
            <wp:effectExtent l="0" t="0" r="381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30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E7D" w:rsidRDefault="00394E7D" w:rsidP="00394E7D">
      <w:pPr>
        <w:jc w:val="both"/>
        <w:rPr>
          <w:rFonts w:ascii="Tahoma" w:hAnsi="Tahoma" w:cs="Tahoma"/>
          <w:sz w:val="18"/>
          <w:szCs w:val="18"/>
        </w:rPr>
      </w:pPr>
      <w:r w:rsidRPr="000865FD">
        <w:rPr>
          <w:rFonts w:ascii="Tahoma" w:hAnsi="Tahoma" w:cs="Tahoma"/>
          <w:sz w:val="18"/>
          <w:szCs w:val="18"/>
        </w:rPr>
        <w:t>Fuente ejecución de ingresos vigencia 2015</w:t>
      </w:r>
    </w:p>
    <w:p w:rsidR="00394E7D" w:rsidRDefault="00394E7D" w:rsidP="00394E7D">
      <w:pPr>
        <w:jc w:val="both"/>
        <w:rPr>
          <w:rFonts w:ascii="Tahoma" w:hAnsi="Tahoma" w:cs="Tahoma"/>
          <w:u w:val="single"/>
        </w:rPr>
      </w:pP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Rentas propias</w:t>
      </w:r>
      <w:r>
        <w:rPr>
          <w:rFonts w:ascii="Tahoma" w:hAnsi="Tahoma" w:cs="Tahoma"/>
        </w:rPr>
        <w:t xml:space="preserve"> con $55.623.461.030.oo  equivalentes al 28.70%, que corresponden a los ingresos por venta de servicios educativos, Estampillas, Reintegro de </w:t>
      </w:r>
      <w:proofErr w:type="spellStart"/>
      <w:r>
        <w:rPr>
          <w:rFonts w:ascii="Tahoma" w:hAnsi="Tahoma" w:cs="Tahoma"/>
        </w:rPr>
        <w:t>Iva</w:t>
      </w:r>
      <w:proofErr w:type="spellEnd"/>
      <w:r>
        <w:rPr>
          <w:rFonts w:ascii="Tahoma" w:hAnsi="Tahoma" w:cs="Tahoma"/>
        </w:rPr>
        <w:t>.</w:t>
      </w: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Transferencias recibidas</w:t>
      </w:r>
      <w:r>
        <w:rPr>
          <w:rFonts w:ascii="Tahoma" w:hAnsi="Tahoma" w:cs="Tahoma"/>
        </w:rPr>
        <w:t xml:space="preserve"> con $56.211.332.036.oo, equivalentes al 29.00%, que corresponden a los Recursos del presupuesto General de la Nación, descuento de votaciones Ley 403 de 1997, Desempeño de indicadores, Ley 1607 de 2012 CREE.    </w:t>
      </w: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Recursos de capital</w:t>
      </w:r>
      <w:r w:rsidRPr="000865FD">
        <w:rPr>
          <w:rFonts w:ascii="Tahoma" w:hAnsi="Tahoma" w:cs="Tahoma"/>
        </w:rPr>
        <w:t xml:space="preserve"> con $24.843.816.871.oo</w:t>
      </w:r>
      <w:r>
        <w:rPr>
          <w:rFonts w:ascii="Tahoma" w:hAnsi="Tahoma" w:cs="Tahoma"/>
        </w:rPr>
        <w:t>, equivalentes al</w:t>
      </w:r>
      <w:r w:rsidRPr="000865F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12.82%, corresponde a los excedentes de Tesorería, Rendimientos Financieros, Reservas presupuestales y recursos del crédito.</w:t>
      </w: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Fondos</w:t>
      </w:r>
      <w:r>
        <w:rPr>
          <w:rFonts w:ascii="Tahoma" w:hAnsi="Tahoma" w:cs="Tahoma"/>
        </w:rPr>
        <w:t xml:space="preserve"> con $33.916.146.170.oo, equivalentes al 17.50%, corresponden  a los recursos de convenios y proyectos especiales.</w:t>
      </w:r>
    </w:p>
    <w:p w:rsidR="00394E7D" w:rsidRDefault="00394E7D" w:rsidP="00394E7D">
      <w:pPr>
        <w:jc w:val="both"/>
        <w:rPr>
          <w:rFonts w:ascii="Tahoma" w:hAnsi="Tahoma" w:cs="Tahoma"/>
        </w:rPr>
      </w:pPr>
    </w:p>
    <w:p w:rsidR="00394E7D" w:rsidRDefault="00394E7D" w:rsidP="00394E7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Se evidenció que la Universidad del Tolima para la vigencia 2015, dejó de percibir la suma de $23.245.062.805.oo, frente al presupuesto definitivo, notándose con ello la sobrestimación de los Ingresos. La meta del Recaudo no se cumplió con respecto al total presupuestado.</w:t>
      </w:r>
    </w:p>
    <w:p w:rsidR="00394E7D" w:rsidRDefault="00394E7D" w:rsidP="00394E7D">
      <w:pPr>
        <w:jc w:val="both"/>
        <w:rPr>
          <w:rFonts w:ascii="Tahoma" w:hAnsi="Tahoma" w:cs="Tahoma"/>
        </w:rPr>
      </w:pPr>
    </w:p>
    <w:p w:rsidR="001C1EA3" w:rsidRDefault="00256F6A" w:rsidP="006F26B2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noProof/>
          <w:color w:val="FF0000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1C1EA3">
        <w:rPr>
          <w:rFonts w:ascii="Tahoma" w:hAnsi="Tahoma" w:cs="Tahoma"/>
          <w:noProof/>
          <w:color w:val="FF0000"/>
        </w:rPr>
        <w:drawing>
          <wp:inline distT="0" distB="0" distL="0" distR="0" wp14:anchorId="061DACEA" wp14:editId="3B7F4009">
            <wp:extent cx="5486400" cy="4191000"/>
            <wp:effectExtent l="0" t="0" r="19050" b="1905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073CF" w:rsidRDefault="005073CF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FB2024" w:rsidRDefault="005073CF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</w:p>
    <w:p w:rsidR="008032B9" w:rsidRDefault="008032B9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FF0000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>de</w:t>
      </w:r>
      <w:r w:rsidR="0025448D">
        <w:rPr>
          <w:rFonts w:ascii="Tahoma" w:hAnsi="Tahoma" w:cs="Tahoma"/>
          <w:noProof/>
          <w:color w:val="auto"/>
        </w:rPr>
        <w:t xml:space="preserve"> </w:t>
      </w:r>
      <w:r w:rsidRPr="00836C5C">
        <w:rPr>
          <w:rFonts w:ascii="Tahoma" w:hAnsi="Tahoma" w:cs="Tahoma"/>
          <w:noProof/>
          <w:color w:val="auto"/>
        </w:rPr>
        <w:t>l</w:t>
      </w:r>
      <w:r w:rsidR="0025448D">
        <w:rPr>
          <w:rFonts w:ascii="Tahoma" w:hAnsi="Tahoma" w:cs="Tahoma"/>
          <w:noProof/>
          <w:color w:val="auto"/>
        </w:rPr>
        <w:t>a</w:t>
      </w:r>
      <w:r w:rsidRPr="00836C5C">
        <w:rPr>
          <w:rFonts w:ascii="Tahoma" w:hAnsi="Tahoma" w:cs="Tahoma"/>
          <w:noProof/>
          <w:color w:val="auto"/>
        </w:rPr>
        <w:t xml:space="preserve"> </w:t>
      </w:r>
      <w:r w:rsidR="0025448D">
        <w:rPr>
          <w:rFonts w:ascii="Tahoma" w:hAnsi="Tahoma" w:cs="Tahoma"/>
          <w:noProof/>
          <w:color w:val="auto"/>
        </w:rPr>
        <w:t>Universidad del Tolima</w:t>
      </w:r>
      <w:r w:rsidRPr="00836C5C">
        <w:rPr>
          <w:rFonts w:ascii="Tahoma" w:hAnsi="Tahoma" w:cs="Tahoma"/>
          <w:noProof/>
          <w:color w:val="auto"/>
        </w:rPr>
        <w:t xml:space="preserve"> a Diciembre 31 de 2015</w:t>
      </w:r>
      <w:r>
        <w:rPr>
          <w:rFonts w:ascii="Tahoma" w:hAnsi="Tahoma" w:cs="Tahoma"/>
          <w:noProof/>
          <w:color w:val="auto"/>
        </w:rPr>
        <w:t xml:space="preserve"> fue de </w:t>
      </w:r>
      <w:r w:rsidR="0025448D" w:rsidRPr="00C11480">
        <w:rPr>
          <w:rFonts w:ascii="Tahoma" w:hAnsi="Tahoma" w:cs="Tahoma"/>
          <w:b/>
        </w:rPr>
        <w:t>$193.839.818.911.oo</w:t>
      </w:r>
      <w:r w:rsidR="0025448D" w:rsidRPr="002135D9">
        <w:rPr>
          <w:rFonts w:ascii="Tahoma" w:hAnsi="Tahoma" w:cs="Tahoma"/>
        </w:rPr>
        <w:t xml:space="preserve"> y el recaudo efectivo fue d</w:t>
      </w:r>
      <w:r w:rsidR="0025448D">
        <w:rPr>
          <w:rFonts w:ascii="Tahoma" w:hAnsi="Tahoma" w:cs="Tahoma"/>
        </w:rPr>
        <w:t xml:space="preserve">e </w:t>
      </w:r>
      <w:r w:rsidR="0025448D" w:rsidRPr="0025448D">
        <w:rPr>
          <w:rFonts w:ascii="Tahoma" w:hAnsi="Tahoma" w:cs="Tahoma"/>
          <w:b/>
        </w:rPr>
        <w:t>$170.594.756.106.oo</w:t>
      </w:r>
      <w:r w:rsidR="0025448D" w:rsidRPr="002135D9">
        <w:rPr>
          <w:rFonts w:ascii="Tahoma" w:hAnsi="Tahoma" w:cs="Tahoma"/>
        </w:rPr>
        <w:t xml:space="preserve">, es decir un </w:t>
      </w:r>
      <w:r w:rsidR="0025448D">
        <w:rPr>
          <w:rFonts w:ascii="Tahoma" w:hAnsi="Tahoma" w:cs="Tahoma"/>
        </w:rPr>
        <w:t xml:space="preserve">88.01%. </w:t>
      </w:r>
      <w:r>
        <w:rPr>
          <w:rFonts w:ascii="Tahoma" w:hAnsi="Tahoma" w:cs="Tahoma"/>
          <w:noProof/>
          <w:color w:val="auto"/>
        </w:rPr>
        <w:t xml:space="preserve">  De lo anterior se evidenció </w:t>
      </w:r>
      <w:r>
        <w:rPr>
          <w:rFonts w:ascii="Tahoma" w:hAnsi="Tahoma" w:cs="Tahoma"/>
        </w:rPr>
        <w:t xml:space="preserve">que </w:t>
      </w:r>
      <w:r w:rsidR="0025448D">
        <w:rPr>
          <w:rFonts w:ascii="Tahoma" w:hAnsi="Tahoma" w:cs="Tahoma"/>
        </w:rPr>
        <w:t>la Universidad del Tolima</w:t>
      </w:r>
      <w:r>
        <w:rPr>
          <w:rFonts w:ascii="Tahoma" w:hAnsi="Tahoma" w:cs="Tahoma"/>
        </w:rPr>
        <w:t xml:space="preserve"> no cumplió con la meta del Recaudo, toda vez que quedó pendiente por recaudar la suma de $</w:t>
      </w:r>
      <w:r w:rsidR="0025448D">
        <w:rPr>
          <w:rFonts w:ascii="Tahoma" w:hAnsi="Tahoma" w:cs="Tahoma"/>
        </w:rPr>
        <w:t>23.245</w:t>
      </w:r>
      <w:r>
        <w:rPr>
          <w:rFonts w:ascii="Tahoma" w:hAnsi="Tahoma" w:cs="Tahoma"/>
        </w:rPr>
        <w:t xml:space="preserve"> millones, es decir el </w:t>
      </w:r>
      <w:r w:rsidR="00F50DE8">
        <w:rPr>
          <w:rFonts w:ascii="Tahoma" w:hAnsi="Tahoma" w:cs="Tahoma"/>
        </w:rPr>
        <w:t>1</w:t>
      </w:r>
      <w:r>
        <w:rPr>
          <w:rFonts w:ascii="Tahoma" w:hAnsi="Tahoma" w:cs="Tahoma"/>
        </w:rPr>
        <w:t>1</w:t>
      </w:r>
      <w:r w:rsidR="00F50DE8">
        <w:rPr>
          <w:rFonts w:ascii="Tahoma" w:hAnsi="Tahoma" w:cs="Tahoma"/>
        </w:rPr>
        <w:t>.</w:t>
      </w:r>
      <w:r w:rsidR="0025448D">
        <w:rPr>
          <w:rFonts w:ascii="Tahoma" w:hAnsi="Tahoma" w:cs="Tahoma"/>
        </w:rPr>
        <w:t>99</w:t>
      </w:r>
      <w:r>
        <w:rPr>
          <w:rFonts w:ascii="Tahoma" w:hAnsi="Tahoma" w:cs="Tahoma"/>
        </w:rPr>
        <w:t>%, correspondie</w:t>
      </w:r>
      <w:r w:rsidR="00D6703A">
        <w:rPr>
          <w:rFonts w:ascii="Tahoma" w:hAnsi="Tahoma" w:cs="Tahoma"/>
        </w:rPr>
        <w:t>ntes a Transferencias Recibidas del Orden Nacional y Departamental, Recursos de Capital y Fondos.</w:t>
      </w:r>
      <w:r>
        <w:rPr>
          <w:rFonts w:ascii="Tahoma" w:hAnsi="Tahoma" w:cs="Tahoma"/>
        </w:rPr>
        <w:t xml:space="preserve"> </w:t>
      </w:r>
      <w:r w:rsidR="006120DA">
        <w:rPr>
          <w:rFonts w:ascii="Tahoma" w:hAnsi="Tahoma" w:cs="Tahoma"/>
        </w:rPr>
        <w:t xml:space="preserve"> Ver tabla.</w:t>
      </w:r>
    </w:p>
    <w:p w:rsidR="00412036" w:rsidRPr="00344578" w:rsidRDefault="00412036" w:rsidP="00412036">
      <w:pPr>
        <w:jc w:val="both"/>
        <w:rPr>
          <w:rFonts w:ascii="Tahoma" w:hAnsi="Tahoma" w:cs="Tahoma"/>
          <w:b/>
        </w:rPr>
      </w:pPr>
      <w:r w:rsidRPr="00344578">
        <w:rPr>
          <w:rFonts w:ascii="Tahoma" w:hAnsi="Tahoma" w:cs="Tahoma"/>
          <w:b/>
        </w:rPr>
        <w:lastRenderedPageBreak/>
        <w:t>COMPARACION INGRESOS EFECTIVAMENTE RECAUDADOS 2014  VS  2015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701"/>
        <w:gridCol w:w="1701"/>
        <w:gridCol w:w="1134"/>
      </w:tblGrid>
      <w:tr w:rsidR="00412036" w:rsidTr="004B1241">
        <w:tc>
          <w:tcPr>
            <w:tcW w:w="2660" w:type="dxa"/>
          </w:tcPr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bCs/>
                <w:sz w:val="16"/>
                <w:szCs w:val="16"/>
              </w:rPr>
              <w:t>NOMBRE</w:t>
            </w:r>
          </w:p>
        </w:tc>
        <w:tc>
          <w:tcPr>
            <w:tcW w:w="1984" w:type="dxa"/>
          </w:tcPr>
          <w:p w:rsidR="00412036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 xml:space="preserve">EJECUCION  INGRESOS </w:t>
            </w:r>
          </w:p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 xml:space="preserve">TOTAL 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231A8C">
              <w:rPr>
                <w:rFonts w:ascii="Tahoma" w:hAnsi="Tahoma" w:cs="Tahoma"/>
                <w:sz w:val="16"/>
                <w:szCs w:val="16"/>
              </w:rPr>
              <w:t>ECAUDADO  2014</w:t>
            </w:r>
          </w:p>
        </w:tc>
        <w:tc>
          <w:tcPr>
            <w:tcW w:w="1701" w:type="dxa"/>
          </w:tcPr>
          <w:p w:rsidR="00412036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>EJECUCION  INGRESOS</w:t>
            </w:r>
          </w:p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 xml:space="preserve"> TOTAL RECAUDADO  2015</w:t>
            </w:r>
          </w:p>
        </w:tc>
        <w:tc>
          <w:tcPr>
            <w:tcW w:w="1701" w:type="dxa"/>
          </w:tcPr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>VARIACION ABSOLUTA</w:t>
            </w:r>
          </w:p>
        </w:tc>
        <w:tc>
          <w:tcPr>
            <w:tcW w:w="1134" w:type="dxa"/>
          </w:tcPr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>VARIACION RELATIVA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PRESUPUESTO INGRESOS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$174.853.154.174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$170.594.756.106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$-4.258.398.068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-2.44%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RENTAS PROPIAS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$40.713.763.490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$55.623.461.030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$14.909.697.540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36.62%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TRANSFERENCIAS RECIBIDAS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$52.832.800.200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$56.211.332.036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$3.378.531.836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6.39%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RECURSOS DE CAPITAL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$42.040.713.837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$24.843.816.871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$-17.196.896.966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-40.91%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FONDOS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$39.265.876.647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$33.916.146.170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$-5.349.730.477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-13.62%</w:t>
            </w:r>
          </w:p>
        </w:tc>
      </w:tr>
    </w:tbl>
    <w:p w:rsidR="00412036" w:rsidRDefault="00412036" w:rsidP="00412036">
      <w:pPr>
        <w:jc w:val="both"/>
        <w:rPr>
          <w:rFonts w:ascii="Tahoma" w:hAnsi="Tahoma" w:cs="Tahoma"/>
        </w:rPr>
      </w:pPr>
    </w:p>
    <w:p w:rsidR="00412036" w:rsidRPr="00AC5FEB" w:rsidRDefault="00412036" w:rsidP="00412036">
      <w:pPr>
        <w:jc w:val="both"/>
        <w:rPr>
          <w:rFonts w:ascii="Tahoma" w:hAnsi="Tahoma" w:cs="Tahoma"/>
        </w:rPr>
      </w:pPr>
      <w:r w:rsidRPr="00AC5FEB">
        <w:rPr>
          <w:rFonts w:ascii="Tahoma" w:hAnsi="Tahoma" w:cs="Tahoma"/>
        </w:rPr>
        <w:t>De lo anterior</w:t>
      </w:r>
      <w:r>
        <w:rPr>
          <w:rFonts w:ascii="Tahoma" w:hAnsi="Tahoma" w:cs="Tahoma"/>
        </w:rPr>
        <w:t xml:space="preserve"> se observó que el recaudo efectivo de la vigencia 2015, frente al total recaudado de la vigencia 2014, disminuyó en un 2.44%, el recaudo de las Rentas propias aumentó en un 36.62% y las transferencias recibidas aumentaron en un 6.39%, los recursos de capital y los fondos disminuyeron en un 40.91% y 13.62% respectivamente con respecto a la vigencia anterior.</w:t>
      </w: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</w:p>
    <w:p w:rsidR="00231ECA" w:rsidRPr="0054263E" w:rsidRDefault="00231EC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</w:p>
    <w:p w:rsidR="00D27BCA" w:rsidRPr="00EE40F7" w:rsidRDefault="00412036" w:rsidP="00412036">
      <w:pPr>
        <w:tabs>
          <w:tab w:val="left" w:pos="3924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</w:t>
      </w:r>
      <w:r w:rsidR="00EE40F7">
        <w:rPr>
          <w:rFonts w:ascii="Tahoma" w:hAnsi="Tahoma" w:cs="Tahoma"/>
          <w:b/>
        </w:rPr>
        <w:t xml:space="preserve">2.2   </w:t>
      </w:r>
      <w:r w:rsidR="00D27BCA" w:rsidRPr="00EE40F7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0375A9" w:rsidRDefault="00682367" w:rsidP="000375A9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 xml:space="preserve">de </w:t>
      </w:r>
      <w:r w:rsidR="00950A8A">
        <w:rPr>
          <w:rFonts w:ascii="Tahoma" w:hAnsi="Tahoma" w:cs="Tahoma"/>
        </w:rPr>
        <w:t>Gastos</w:t>
      </w:r>
      <w:r>
        <w:rPr>
          <w:rFonts w:ascii="Tahoma" w:hAnsi="Tahoma" w:cs="Tahoma"/>
        </w:rPr>
        <w:t xml:space="preserve"> </w:t>
      </w:r>
      <w:r w:rsidR="00412036">
        <w:rPr>
          <w:rFonts w:ascii="Tahoma" w:hAnsi="Tahoma" w:cs="Tahoma"/>
        </w:rPr>
        <w:t>de la Universidad del Tolima vigencia 2015</w:t>
      </w:r>
      <w:r>
        <w:rPr>
          <w:rFonts w:ascii="Tahoma" w:hAnsi="Tahoma" w:cs="Tahoma"/>
        </w:rPr>
        <w:t xml:space="preserve"> fue aprobado en la cuantía </w:t>
      </w:r>
      <w:r w:rsidRPr="00E85A59">
        <w:rPr>
          <w:rFonts w:ascii="Tahoma" w:hAnsi="Tahoma" w:cs="Tahoma"/>
        </w:rPr>
        <w:t xml:space="preserve">de </w:t>
      </w:r>
      <w:r w:rsidR="000375A9" w:rsidRPr="000375A9">
        <w:rPr>
          <w:rFonts w:ascii="Tahoma" w:hAnsi="Tahoma" w:cs="Tahoma"/>
          <w:b/>
        </w:rPr>
        <w:t>$170.009.599.681.47.oo</w:t>
      </w:r>
      <w:r w:rsidRPr="00E85A59">
        <w:rPr>
          <w:rFonts w:ascii="Tahoma" w:hAnsi="Tahoma" w:cs="Tahoma"/>
          <w:b/>
          <w:color w:val="auto"/>
        </w:rPr>
        <w:t>,</w:t>
      </w:r>
      <w:r w:rsidR="00950A8A" w:rsidRPr="00E85A59">
        <w:rPr>
          <w:rFonts w:ascii="Tahoma" w:hAnsi="Tahoma" w:cs="Tahoma"/>
          <w:b/>
          <w:color w:val="auto"/>
        </w:rPr>
        <w:t xml:space="preserve"> </w:t>
      </w:r>
      <w:r w:rsidR="000375A9" w:rsidRPr="000375A9">
        <w:rPr>
          <w:rFonts w:ascii="Tahoma" w:hAnsi="Tahoma" w:cs="Tahoma"/>
          <w:color w:val="auto"/>
        </w:rPr>
        <w:t>presentó</w:t>
      </w:r>
      <w:r w:rsidR="000375A9">
        <w:rPr>
          <w:rFonts w:ascii="Tahoma" w:hAnsi="Tahoma" w:cs="Tahoma"/>
        </w:rPr>
        <w:t xml:space="preserve"> adiciones en $64.733.857.792.oo, Reducciones en la suma de $40.903.638.563.oo, </w:t>
      </w:r>
      <w:r w:rsidR="000375A9" w:rsidRPr="002135D9">
        <w:rPr>
          <w:rFonts w:ascii="Tahoma" w:hAnsi="Tahoma" w:cs="Tahoma"/>
        </w:rPr>
        <w:t xml:space="preserve">para un presupuesto definitivo </w:t>
      </w:r>
      <w:r w:rsidR="000375A9" w:rsidRPr="00C11480">
        <w:rPr>
          <w:rFonts w:ascii="Tahoma" w:hAnsi="Tahoma" w:cs="Tahoma"/>
          <w:b/>
        </w:rPr>
        <w:t>de $193.839.818.911.oo</w:t>
      </w:r>
      <w:r w:rsidR="000375A9">
        <w:rPr>
          <w:rFonts w:ascii="Tahoma" w:hAnsi="Tahoma" w:cs="Tahoma"/>
          <w:b/>
        </w:rPr>
        <w:t>.</w:t>
      </w:r>
      <w:r w:rsidR="000375A9" w:rsidRPr="002135D9">
        <w:rPr>
          <w:rFonts w:ascii="Tahoma" w:hAnsi="Tahoma" w:cs="Tahoma"/>
        </w:rPr>
        <w:t xml:space="preserve"> </w:t>
      </w:r>
    </w:p>
    <w:p w:rsidR="000375A9" w:rsidRDefault="000375A9" w:rsidP="000375A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0375A9" w:rsidRDefault="000375A9" w:rsidP="000375A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1985"/>
        <w:gridCol w:w="2428"/>
      </w:tblGrid>
      <w:tr w:rsidR="000375A9" w:rsidRPr="00BA1DE4" w:rsidTr="004B1241">
        <w:trPr>
          <w:trHeight w:val="327"/>
        </w:trPr>
        <w:tc>
          <w:tcPr>
            <w:tcW w:w="2376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985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0375A9" w:rsidRPr="00BA1DE4" w:rsidTr="004B1241">
        <w:trPr>
          <w:trHeight w:val="551"/>
        </w:trPr>
        <w:tc>
          <w:tcPr>
            <w:tcW w:w="2376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170.009.599.681.47</w:t>
            </w: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226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64.733.857.792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  <w:tc>
          <w:tcPr>
            <w:tcW w:w="1985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40.903.638.563.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oo</w:t>
            </w:r>
          </w:p>
        </w:tc>
        <w:tc>
          <w:tcPr>
            <w:tcW w:w="242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193.839.818.911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</w:tr>
    </w:tbl>
    <w:p w:rsidR="000375A9" w:rsidRPr="00256F6A" w:rsidRDefault="000375A9" w:rsidP="000375A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>l</w:t>
      </w:r>
      <w:r>
        <w:rPr>
          <w:rFonts w:ascii="Tahoma" w:eastAsia="Times New Roman" w:hAnsi="Tahoma" w:cs="Tahoma"/>
          <w:bCs/>
          <w:color w:val="auto"/>
          <w:vertAlign w:val="subscript"/>
        </w:rPr>
        <w:t>a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>
        <w:rPr>
          <w:rFonts w:ascii="Tahoma" w:eastAsia="Times New Roman" w:hAnsi="Tahoma" w:cs="Tahoma"/>
          <w:bCs/>
          <w:color w:val="auto"/>
          <w:vertAlign w:val="subscript"/>
        </w:rPr>
        <w:t>Universidad del Tolima vigencia 2015</w:t>
      </w:r>
    </w:p>
    <w:p w:rsidR="00682367" w:rsidRDefault="00682367" w:rsidP="00682367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682367" w:rsidRDefault="00682367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0375A9" w:rsidRDefault="000375A9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0375A9" w:rsidRDefault="000375A9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0375A9" w:rsidRDefault="000375A9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231ECA" w:rsidRDefault="00231ECA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lastRenderedPageBreak/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>El presupuesto de Gastos aprobado para la vigencia 2015 de</w:t>
      </w:r>
      <w:r w:rsidR="000375A9">
        <w:rPr>
          <w:rFonts w:ascii="Tahoma" w:hAnsi="Tahoma" w:cs="Tahoma"/>
          <w:color w:val="auto"/>
        </w:rPr>
        <w:t xml:space="preserve"> </w:t>
      </w:r>
      <w:r w:rsidRPr="00C32B9A">
        <w:rPr>
          <w:rFonts w:ascii="Tahoma" w:hAnsi="Tahoma" w:cs="Tahoma"/>
          <w:color w:val="auto"/>
        </w:rPr>
        <w:t>l</w:t>
      </w:r>
      <w:r w:rsidR="000375A9">
        <w:rPr>
          <w:rFonts w:ascii="Tahoma" w:hAnsi="Tahoma" w:cs="Tahoma"/>
          <w:color w:val="auto"/>
        </w:rPr>
        <w:t>a</w:t>
      </w:r>
      <w:r w:rsidRPr="00C32B9A">
        <w:rPr>
          <w:rFonts w:ascii="Tahoma" w:hAnsi="Tahoma" w:cs="Tahoma"/>
          <w:color w:val="auto"/>
        </w:rPr>
        <w:t xml:space="preserve"> </w:t>
      </w:r>
      <w:r w:rsidR="000375A9">
        <w:rPr>
          <w:rFonts w:ascii="Tahoma" w:hAnsi="Tahoma" w:cs="Tahoma"/>
          <w:color w:val="auto"/>
        </w:rPr>
        <w:t>Universidad del Tolima</w:t>
      </w:r>
      <w:r w:rsidRPr="00C32B9A">
        <w:rPr>
          <w:rFonts w:ascii="Tahoma" w:hAnsi="Tahoma" w:cs="Tahoma"/>
          <w:color w:val="auto"/>
        </w:rPr>
        <w:t>, fue de $</w:t>
      </w:r>
      <w:r w:rsidR="000375A9">
        <w:rPr>
          <w:rFonts w:ascii="Tahoma" w:hAnsi="Tahoma" w:cs="Tahoma"/>
          <w:color w:val="auto"/>
        </w:rPr>
        <w:t>170.009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 xml:space="preserve">, de los cuales </w:t>
      </w:r>
      <w:r w:rsidR="000375A9">
        <w:rPr>
          <w:rFonts w:ascii="Tahoma" w:hAnsi="Tahoma" w:cs="Tahoma"/>
          <w:color w:val="auto"/>
        </w:rPr>
        <w:t>$10</w:t>
      </w:r>
      <w:r w:rsidR="00424864">
        <w:rPr>
          <w:rFonts w:ascii="Tahoma" w:hAnsi="Tahoma" w:cs="Tahoma"/>
          <w:color w:val="auto"/>
        </w:rPr>
        <w:t>0</w:t>
      </w:r>
      <w:r w:rsidR="000375A9">
        <w:rPr>
          <w:rFonts w:ascii="Tahoma" w:hAnsi="Tahoma" w:cs="Tahoma"/>
          <w:color w:val="auto"/>
        </w:rPr>
        <w:t>.</w:t>
      </w:r>
      <w:r w:rsidR="00424864">
        <w:rPr>
          <w:rFonts w:ascii="Tahoma" w:hAnsi="Tahoma" w:cs="Tahoma"/>
          <w:color w:val="auto"/>
        </w:rPr>
        <w:t>376</w:t>
      </w:r>
      <w:r w:rsidR="000375A9">
        <w:rPr>
          <w:rFonts w:ascii="Tahoma" w:hAnsi="Tahoma" w:cs="Tahoma"/>
          <w:color w:val="auto"/>
        </w:rPr>
        <w:t xml:space="preserve"> millones correspondieron a funcionamiento,</w:t>
      </w:r>
      <w:r w:rsidR="00E12256">
        <w:rPr>
          <w:rFonts w:ascii="Tahoma" w:hAnsi="Tahoma" w:cs="Tahoma"/>
          <w:color w:val="auto"/>
        </w:rPr>
        <w:t xml:space="preserve"> equivalentes al 59.04%,</w:t>
      </w:r>
      <w:r w:rsidR="000375A9">
        <w:rPr>
          <w:rFonts w:ascii="Tahoma" w:hAnsi="Tahoma" w:cs="Tahoma"/>
          <w:color w:val="auto"/>
        </w:rPr>
        <w:t xml:space="preserve"> </w:t>
      </w:r>
      <w:r w:rsidR="00424864">
        <w:rPr>
          <w:rFonts w:ascii="Tahoma" w:hAnsi="Tahoma" w:cs="Tahoma"/>
          <w:color w:val="auto"/>
        </w:rPr>
        <w:t>Deuda Publica $1.378 millones</w:t>
      </w:r>
      <w:r w:rsidR="00E12256">
        <w:rPr>
          <w:rFonts w:ascii="Tahoma" w:hAnsi="Tahoma" w:cs="Tahoma"/>
          <w:color w:val="auto"/>
        </w:rPr>
        <w:t>, equivalentes a $0.81%</w:t>
      </w:r>
      <w:r w:rsidR="00424864">
        <w:rPr>
          <w:rFonts w:ascii="Tahoma" w:hAnsi="Tahoma" w:cs="Tahoma"/>
          <w:color w:val="auto"/>
        </w:rPr>
        <w:t xml:space="preserve"> y Gastos de Inversión </w:t>
      </w:r>
      <w:r w:rsidR="000375A9">
        <w:rPr>
          <w:rFonts w:ascii="Tahoma" w:hAnsi="Tahoma" w:cs="Tahoma"/>
          <w:color w:val="auto"/>
        </w:rPr>
        <w:t>$</w:t>
      </w:r>
      <w:r w:rsidR="00424864">
        <w:rPr>
          <w:rFonts w:ascii="Tahoma" w:hAnsi="Tahoma" w:cs="Tahoma"/>
          <w:color w:val="auto"/>
        </w:rPr>
        <w:t>68.254 millones</w:t>
      </w:r>
      <w:r w:rsidR="00E12256">
        <w:rPr>
          <w:rFonts w:ascii="Tahoma" w:hAnsi="Tahoma" w:cs="Tahoma"/>
          <w:color w:val="auto"/>
        </w:rPr>
        <w:t>, equivalentes a 40.15%</w:t>
      </w:r>
      <w:r w:rsidR="00424864">
        <w:rPr>
          <w:rFonts w:ascii="Tahoma" w:hAnsi="Tahoma" w:cs="Tahoma"/>
          <w:color w:val="auto"/>
        </w:rPr>
        <w:t>.</w:t>
      </w:r>
      <w:r w:rsidR="00C2227E">
        <w:rPr>
          <w:rFonts w:ascii="Tahoma" w:hAnsi="Tahoma" w:cs="Tahoma"/>
          <w:color w:val="auto"/>
        </w:rPr>
        <w:t xml:space="preserve"> </w:t>
      </w:r>
      <w:r w:rsidR="00A566FE">
        <w:rPr>
          <w:rFonts w:ascii="Tahoma" w:hAnsi="Tahoma" w:cs="Tahoma"/>
          <w:color w:val="auto"/>
        </w:rPr>
        <w:t xml:space="preserve">  Ver </w:t>
      </w:r>
      <w:r w:rsidR="0060752B">
        <w:rPr>
          <w:rFonts w:ascii="Tahoma" w:hAnsi="Tahoma" w:cs="Tahoma"/>
          <w:color w:val="auto"/>
        </w:rPr>
        <w:t>Tabla</w:t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E12256" w:rsidRDefault="00E12256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E12256">
        <w:rPr>
          <w:noProof/>
        </w:rPr>
        <w:drawing>
          <wp:inline distT="0" distB="0" distL="0" distR="0" wp14:anchorId="410C5476" wp14:editId="11111819">
            <wp:extent cx="5612130" cy="1179830"/>
            <wp:effectExtent l="0" t="0" r="7620" b="127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95DA7" w:rsidRPr="003539AE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dividieron en</w:t>
      </w:r>
      <w:r w:rsidR="005325B4">
        <w:rPr>
          <w:rFonts w:ascii="Tahoma" w:hAnsi="Tahoma" w:cs="Tahoma"/>
          <w:color w:val="auto"/>
        </w:rPr>
        <w:t xml:space="preserve"> </w:t>
      </w:r>
      <w:r w:rsidR="00C66C5A">
        <w:rPr>
          <w:rFonts w:ascii="Tahoma" w:hAnsi="Tahoma" w:cs="Tahoma"/>
          <w:color w:val="auto"/>
        </w:rPr>
        <w:t xml:space="preserve">Gastos de </w:t>
      </w:r>
      <w:r w:rsidR="005325B4">
        <w:rPr>
          <w:rFonts w:ascii="Tahoma" w:hAnsi="Tahoma" w:cs="Tahoma"/>
          <w:color w:val="auto"/>
        </w:rPr>
        <w:t>Personal</w:t>
      </w:r>
      <w:r w:rsidR="00815CEE">
        <w:rPr>
          <w:rFonts w:ascii="Tahoma" w:hAnsi="Tahoma" w:cs="Tahoma"/>
          <w:color w:val="auto"/>
        </w:rPr>
        <w:t xml:space="preserve"> con $</w:t>
      </w:r>
      <w:r w:rsidR="00C66C5A">
        <w:rPr>
          <w:rFonts w:ascii="Tahoma" w:hAnsi="Tahoma" w:cs="Tahoma"/>
          <w:color w:val="auto"/>
        </w:rPr>
        <w:t>78</w:t>
      </w:r>
      <w:r w:rsidR="00881C9C">
        <w:rPr>
          <w:rFonts w:ascii="Tahoma" w:hAnsi="Tahoma" w:cs="Tahoma"/>
          <w:color w:val="auto"/>
        </w:rPr>
        <w:t xml:space="preserve"> millones</w:t>
      </w:r>
      <w:r w:rsidR="00815CEE">
        <w:rPr>
          <w:rFonts w:ascii="Tahoma" w:hAnsi="Tahoma" w:cs="Tahoma"/>
          <w:color w:val="auto"/>
        </w:rPr>
        <w:t xml:space="preserve">, es decir con un </w:t>
      </w:r>
      <w:r w:rsidR="00C66C5A">
        <w:rPr>
          <w:rFonts w:ascii="Tahoma" w:hAnsi="Tahoma" w:cs="Tahoma"/>
          <w:color w:val="auto"/>
        </w:rPr>
        <w:t>78.70%</w:t>
      </w:r>
      <w:r w:rsidR="00BE515D">
        <w:rPr>
          <w:rFonts w:ascii="Tahoma" w:hAnsi="Tahoma" w:cs="Tahoma"/>
          <w:color w:val="auto"/>
        </w:rPr>
        <w:t xml:space="preserve">, </w:t>
      </w:r>
      <w:r w:rsidR="00C66C5A">
        <w:rPr>
          <w:rFonts w:ascii="Tahoma" w:hAnsi="Tahoma" w:cs="Tahoma"/>
          <w:color w:val="auto"/>
        </w:rPr>
        <w:t xml:space="preserve">Gastos Generales 11 millones, es decir con un 11.42%, </w:t>
      </w:r>
      <w:r w:rsidR="0060752B">
        <w:rPr>
          <w:rFonts w:ascii="Tahoma" w:hAnsi="Tahoma" w:cs="Tahoma"/>
          <w:color w:val="auto"/>
        </w:rPr>
        <w:t>Transferencias</w:t>
      </w:r>
      <w:r w:rsidR="00C66C5A">
        <w:rPr>
          <w:rFonts w:ascii="Tahoma" w:hAnsi="Tahoma" w:cs="Tahoma"/>
          <w:color w:val="auto"/>
        </w:rPr>
        <w:t xml:space="preserve"> corrientes con 9 millones</w:t>
      </w:r>
      <w:r w:rsidR="00C009FE">
        <w:rPr>
          <w:rFonts w:ascii="Tahoma" w:hAnsi="Tahoma" w:cs="Tahoma"/>
          <w:color w:val="auto"/>
        </w:rPr>
        <w:t>, y</w:t>
      </w:r>
      <w:r w:rsidR="00C66C5A">
        <w:rPr>
          <w:rFonts w:ascii="Tahoma" w:hAnsi="Tahoma" w:cs="Tahoma"/>
          <w:color w:val="auto"/>
        </w:rPr>
        <w:t xml:space="preserve"> un 9.30% y Gastos de comercialización con </w:t>
      </w:r>
      <w:r w:rsidR="0060752B">
        <w:rPr>
          <w:rFonts w:ascii="Tahoma" w:hAnsi="Tahoma" w:cs="Tahoma"/>
          <w:color w:val="auto"/>
        </w:rPr>
        <w:t xml:space="preserve">582 mil </w:t>
      </w:r>
      <w:r w:rsidR="00862093">
        <w:rPr>
          <w:rFonts w:ascii="Tahoma" w:hAnsi="Tahoma" w:cs="Tahoma"/>
          <w:color w:val="auto"/>
        </w:rPr>
        <w:t>y el</w:t>
      </w:r>
      <w:r w:rsidR="0060752B">
        <w:rPr>
          <w:rFonts w:ascii="Tahoma" w:hAnsi="Tahoma" w:cs="Tahoma"/>
          <w:color w:val="auto"/>
        </w:rPr>
        <w:t xml:space="preserve"> 0.58%.</w:t>
      </w:r>
      <w:r w:rsidRPr="003539AE">
        <w:rPr>
          <w:rFonts w:ascii="Tahoma" w:hAnsi="Tahoma" w:cs="Tahoma"/>
          <w:color w:val="auto"/>
        </w:rPr>
        <w:tab/>
      </w:r>
    </w:p>
    <w:p w:rsidR="00595DA7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595DA7" w:rsidRDefault="00595DA7" w:rsidP="00595DA7">
      <w:pPr>
        <w:spacing w:before="0" w:after="0"/>
        <w:rPr>
          <w:rFonts w:ascii="Tahoma" w:hAnsi="Tahoma" w:cs="Tahoma"/>
          <w:color w:val="auto"/>
        </w:rPr>
      </w:pPr>
    </w:p>
    <w:p w:rsidR="00595DA7" w:rsidRDefault="00EF1F54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noProof/>
          <w:color w:val="auto"/>
        </w:rPr>
        <w:drawing>
          <wp:inline distT="0" distB="0" distL="0" distR="0" wp14:anchorId="3CB68A0F" wp14:editId="41DB2496">
            <wp:extent cx="5486400" cy="2979420"/>
            <wp:effectExtent l="0" t="0" r="19050" b="11430"/>
            <wp:docPr id="1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A0FB7" w:rsidRDefault="00AA0FB7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595DA7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inversión</w:t>
      </w:r>
      <w:r w:rsidRPr="006309B9">
        <w:rPr>
          <w:rFonts w:ascii="Tahoma" w:hAnsi="Tahoma" w:cs="Tahoma"/>
          <w:color w:val="auto"/>
        </w:rPr>
        <w:t xml:space="preserve"> se </w:t>
      </w:r>
      <w:r w:rsidR="00AA0FB7" w:rsidRPr="006309B9">
        <w:rPr>
          <w:rFonts w:ascii="Tahoma" w:hAnsi="Tahoma" w:cs="Tahoma"/>
          <w:color w:val="auto"/>
        </w:rPr>
        <w:t>Clasificaron en</w:t>
      </w:r>
      <w:r>
        <w:rPr>
          <w:rFonts w:ascii="Tahoma" w:hAnsi="Tahoma" w:cs="Tahoma"/>
          <w:color w:val="auto"/>
        </w:rPr>
        <w:t>:</w:t>
      </w:r>
      <w:r w:rsidR="00AA0FB7">
        <w:rPr>
          <w:rFonts w:ascii="Tahoma" w:hAnsi="Tahoma" w:cs="Tahoma"/>
          <w:color w:val="auto"/>
        </w:rPr>
        <w:t xml:space="preserve"> </w:t>
      </w:r>
      <w:r w:rsidR="00036DC1">
        <w:rPr>
          <w:rFonts w:ascii="Tahoma" w:hAnsi="Tahoma" w:cs="Tahoma"/>
          <w:color w:val="auto"/>
        </w:rPr>
        <w:t xml:space="preserve">Excelencia Académica 13.68%, compromiso social 7.89%, </w:t>
      </w:r>
      <w:r w:rsidR="004158F0">
        <w:rPr>
          <w:rFonts w:ascii="Tahoma" w:hAnsi="Tahoma" w:cs="Tahoma"/>
          <w:color w:val="auto"/>
        </w:rPr>
        <w:t xml:space="preserve"> compromiso ambiental 0.80%, Eficiencia y Transparencia Administrativa 53.81%, Inversiones de Posgrados 1.37%, Inversiones de Educación continuada 0-97%, Inversiones de Convenios 0.31%, Inversión Fondo de Investigaciones 4.88%, </w:t>
      </w:r>
      <w:r w:rsidR="00EC4437">
        <w:rPr>
          <w:rFonts w:ascii="Tahoma" w:hAnsi="Tahoma" w:cs="Tahoma"/>
          <w:color w:val="auto"/>
        </w:rPr>
        <w:t xml:space="preserve">Inversión CERE, 0.05%. </w:t>
      </w:r>
    </w:p>
    <w:p w:rsidR="001E2CF6" w:rsidRDefault="00595DA7" w:rsidP="00817D8E">
      <w:pPr>
        <w:tabs>
          <w:tab w:val="left" w:pos="4989"/>
          <w:tab w:val="left" w:pos="5901"/>
        </w:tabs>
        <w:spacing w:before="0" w:after="0"/>
        <w:jc w:val="both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color w:val="auto"/>
        </w:rPr>
        <w:tab/>
      </w:r>
    </w:p>
    <w:p w:rsidR="005325B4" w:rsidRDefault="00036DC1" w:rsidP="00815CEE">
      <w:pPr>
        <w:spacing w:before="0" w:after="0"/>
        <w:jc w:val="center"/>
        <w:rPr>
          <w:rFonts w:ascii="Tahoma" w:hAnsi="Tahoma" w:cs="Tahoma"/>
          <w:b/>
          <w:szCs w:val="24"/>
        </w:rPr>
      </w:pPr>
      <w:r>
        <w:rPr>
          <w:noProof/>
        </w:rPr>
        <w:drawing>
          <wp:inline distT="0" distB="0" distL="0" distR="0" wp14:anchorId="6DB327C0" wp14:editId="2A78392B">
            <wp:extent cx="5219700" cy="5532120"/>
            <wp:effectExtent l="0" t="0" r="19050" b="11430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15CEE" w:rsidRDefault="00815CEE" w:rsidP="001D6862">
      <w:pPr>
        <w:spacing w:before="0" w:after="0"/>
        <w:rPr>
          <w:rFonts w:ascii="Tahoma" w:hAnsi="Tahoma" w:cs="Tahoma"/>
          <w:b/>
          <w:szCs w:val="24"/>
        </w:rPr>
      </w:pPr>
    </w:p>
    <w:p w:rsidR="00AC4815" w:rsidRDefault="00AC4815" w:rsidP="000C2D28">
      <w:pPr>
        <w:tabs>
          <w:tab w:val="left" w:pos="1000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AC4815">
        <w:rPr>
          <w:rFonts w:ascii="Tahoma" w:hAnsi="Tahoma" w:cs="Tahoma"/>
          <w:color w:val="auto"/>
        </w:rPr>
        <w:t xml:space="preserve">De la ejecución presupuestal,  se pudo observar que la mayor inversión se destinó </w:t>
      </w:r>
      <w:r w:rsidR="00EC4437">
        <w:rPr>
          <w:rFonts w:ascii="Tahoma" w:hAnsi="Tahoma" w:cs="Tahoma"/>
          <w:color w:val="auto"/>
        </w:rPr>
        <w:t xml:space="preserve">Eficiencia y Transparencia Administrativa 53.81%, </w:t>
      </w:r>
      <w:r w:rsidRPr="00AC4815">
        <w:rPr>
          <w:rFonts w:ascii="Tahoma" w:hAnsi="Tahoma" w:cs="Tahoma"/>
          <w:color w:val="auto"/>
        </w:rPr>
        <w:t>equivalentes a $</w:t>
      </w:r>
      <w:r w:rsidR="00EC4437">
        <w:rPr>
          <w:rFonts w:ascii="Tahoma" w:hAnsi="Tahoma" w:cs="Tahoma"/>
          <w:color w:val="auto"/>
        </w:rPr>
        <w:t>36.724</w:t>
      </w:r>
      <w:r w:rsidR="00881C9C">
        <w:rPr>
          <w:rFonts w:ascii="Tahoma" w:eastAsia="Times New Roman" w:hAnsi="Tahoma" w:cs="Tahoma"/>
          <w:color w:val="auto"/>
        </w:rPr>
        <w:t xml:space="preserve"> millones</w:t>
      </w:r>
      <w:r w:rsidRPr="00AC4815">
        <w:rPr>
          <w:rFonts w:ascii="Tahoma" w:eastAsia="Times New Roman" w:hAnsi="Tahoma" w:cs="Tahoma"/>
          <w:color w:val="auto"/>
        </w:rPr>
        <w:t>, seguidos de</w:t>
      </w:r>
      <w:r w:rsidR="00817D8E">
        <w:rPr>
          <w:rFonts w:ascii="Tahoma" w:eastAsia="Times New Roman" w:hAnsi="Tahoma" w:cs="Tahoma"/>
          <w:color w:val="auto"/>
        </w:rPr>
        <w:t xml:space="preserve"> </w:t>
      </w:r>
      <w:r w:rsidR="00EC4437">
        <w:rPr>
          <w:rFonts w:ascii="Tahoma" w:eastAsia="Times New Roman" w:hAnsi="Tahoma" w:cs="Tahoma"/>
          <w:color w:val="auto"/>
        </w:rPr>
        <w:t xml:space="preserve">compromiso Social equivalentes a $5.385 millones.  </w:t>
      </w:r>
    </w:p>
    <w:p w:rsidR="00231ECA" w:rsidRDefault="00231ECA" w:rsidP="001D6862">
      <w:pPr>
        <w:spacing w:before="0" w:after="0"/>
        <w:rPr>
          <w:rFonts w:ascii="Tahoma" w:hAnsi="Tahoma" w:cs="Tahoma"/>
          <w:b/>
          <w:szCs w:val="24"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El presupuesto de gastos de</w:t>
      </w:r>
      <w:r w:rsidR="00EC4437">
        <w:rPr>
          <w:rFonts w:ascii="Tahoma" w:hAnsi="Tahoma" w:cs="Tahoma"/>
          <w:szCs w:val="24"/>
        </w:rPr>
        <w:t xml:space="preserve"> la</w:t>
      </w:r>
      <w:r>
        <w:rPr>
          <w:rFonts w:ascii="Tahoma" w:hAnsi="Tahoma" w:cs="Tahoma"/>
          <w:szCs w:val="24"/>
        </w:rPr>
        <w:t xml:space="preserve"> </w:t>
      </w:r>
      <w:r w:rsidR="00EC4437">
        <w:rPr>
          <w:rFonts w:ascii="Tahoma" w:hAnsi="Tahoma" w:cs="Tahoma"/>
          <w:szCs w:val="24"/>
        </w:rPr>
        <w:t xml:space="preserve">Universidad </w:t>
      </w:r>
      <w:r>
        <w:rPr>
          <w:rFonts w:ascii="Tahoma" w:hAnsi="Tahoma" w:cs="Tahoma"/>
          <w:szCs w:val="24"/>
        </w:rPr>
        <w:t>de</w:t>
      </w:r>
      <w:r w:rsidR="00EC4437">
        <w:rPr>
          <w:rFonts w:ascii="Tahoma" w:hAnsi="Tahoma" w:cs="Tahoma"/>
          <w:szCs w:val="24"/>
        </w:rPr>
        <w:t>l</w:t>
      </w:r>
      <w:r>
        <w:rPr>
          <w:rFonts w:ascii="Tahoma" w:hAnsi="Tahoma" w:cs="Tahoma"/>
          <w:szCs w:val="24"/>
        </w:rPr>
        <w:t xml:space="preserve"> </w:t>
      </w:r>
      <w:r w:rsidR="00EC4437">
        <w:rPr>
          <w:rFonts w:ascii="Tahoma" w:hAnsi="Tahoma" w:cs="Tahoma"/>
          <w:szCs w:val="24"/>
        </w:rPr>
        <w:t xml:space="preserve">Tolima 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264A57">
        <w:rPr>
          <w:rFonts w:ascii="Tahoma" w:hAnsi="Tahoma" w:cs="Tahoma"/>
          <w:szCs w:val="24"/>
        </w:rPr>
        <w:t>upuestales en la suma de $</w:t>
      </w:r>
      <w:r w:rsidR="00F90888">
        <w:rPr>
          <w:rFonts w:ascii="Tahoma" w:hAnsi="Tahoma" w:cs="Tahoma"/>
          <w:szCs w:val="24"/>
        </w:rPr>
        <w:t>64.733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 xml:space="preserve"> y reducciones en la suma de $</w:t>
      </w:r>
      <w:r w:rsidR="00B62473">
        <w:rPr>
          <w:rFonts w:ascii="Tahoma" w:hAnsi="Tahoma" w:cs="Tahoma"/>
          <w:szCs w:val="24"/>
        </w:rPr>
        <w:t>4</w:t>
      </w:r>
      <w:r w:rsidR="00F90888">
        <w:rPr>
          <w:rFonts w:ascii="Tahoma" w:hAnsi="Tahoma" w:cs="Tahoma"/>
          <w:szCs w:val="24"/>
        </w:rPr>
        <w:t>0.</w:t>
      </w:r>
      <w:r w:rsidR="00B62473">
        <w:rPr>
          <w:rFonts w:ascii="Tahoma" w:hAnsi="Tahoma" w:cs="Tahoma"/>
          <w:szCs w:val="24"/>
        </w:rPr>
        <w:t>9</w:t>
      </w:r>
      <w:r w:rsidR="00F90888">
        <w:rPr>
          <w:rFonts w:ascii="Tahoma" w:hAnsi="Tahoma" w:cs="Tahoma"/>
          <w:szCs w:val="24"/>
        </w:rPr>
        <w:t>03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F90888">
        <w:rPr>
          <w:rFonts w:ascii="Tahoma" w:hAnsi="Tahoma" w:cs="Tahoma"/>
          <w:szCs w:val="24"/>
        </w:rPr>
        <w:t>193.8</w:t>
      </w:r>
      <w:r w:rsidR="00B62473">
        <w:rPr>
          <w:rFonts w:ascii="Tahoma" w:hAnsi="Tahoma" w:cs="Tahoma"/>
          <w:szCs w:val="24"/>
        </w:rPr>
        <w:t>39</w:t>
      </w:r>
      <w:r w:rsidR="00264A57">
        <w:rPr>
          <w:rFonts w:ascii="Tahoma" w:hAnsi="Tahoma" w:cs="Tahoma"/>
          <w:szCs w:val="24"/>
        </w:rPr>
        <w:t xml:space="preserve"> millones.</w:t>
      </w:r>
    </w:p>
    <w:p w:rsidR="00264A57" w:rsidRDefault="00264A57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F51FE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</w:t>
      </w:r>
    </w:p>
    <w:p w:rsidR="00E324E3" w:rsidRP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E324E3">
        <w:rPr>
          <w:rFonts w:ascii="Tahoma" w:hAnsi="Tahoma" w:cs="Tahoma"/>
          <w:b/>
          <w:szCs w:val="24"/>
        </w:rPr>
        <w:t>MODIFICACIONES GASTOS DE FUNCIONAMIENTO</w:t>
      </w:r>
      <w:r w:rsidR="004B1241">
        <w:rPr>
          <w:rFonts w:ascii="Tahoma" w:hAnsi="Tahoma" w:cs="Tahoma"/>
          <w:b/>
          <w:szCs w:val="24"/>
        </w:rPr>
        <w:t xml:space="preserve"> E INVERSION</w:t>
      </w: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E324E3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Los Gastos de funcionamiento se incrementaron en un </w:t>
      </w:r>
      <w:r w:rsidR="004B1241">
        <w:rPr>
          <w:rFonts w:ascii="Tahoma" w:hAnsi="Tahoma" w:cs="Tahoma"/>
          <w:szCs w:val="24"/>
        </w:rPr>
        <w:t>4.50%</w:t>
      </w:r>
      <w:r>
        <w:rPr>
          <w:rFonts w:ascii="Tahoma" w:hAnsi="Tahoma" w:cs="Tahoma"/>
          <w:szCs w:val="24"/>
        </w:rPr>
        <w:t>, es decir la suma de $</w:t>
      </w:r>
      <w:r w:rsidR="004B1241">
        <w:rPr>
          <w:rFonts w:ascii="Tahoma" w:hAnsi="Tahoma" w:cs="Tahoma"/>
          <w:szCs w:val="24"/>
        </w:rPr>
        <w:t>4.514</w:t>
      </w:r>
      <w:r w:rsidR="00264A57">
        <w:rPr>
          <w:rFonts w:ascii="Tahoma" w:hAnsi="Tahoma" w:cs="Tahoma"/>
          <w:szCs w:val="24"/>
        </w:rPr>
        <w:t xml:space="preserve"> millones</w:t>
      </w:r>
      <w:r>
        <w:rPr>
          <w:rFonts w:ascii="Tahoma" w:hAnsi="Tahoma" w:cs="Tahoma"/>
          <w:szCs w:val="24"/>
        </w:rPr>
        <w:t xml:space="preserve"> y los gastos de Inversión en un </w:t>
      </w:r>
      <w:r w:rsidR="00256442">
        <w:rPr>
          <w:rFonts w:ascii="Tahoma" w:hAnsi="Tahoma" w:cs="Tahoma"/>
          <w:szCs w:val="24"/>
        </w:rPr>
        <w:t>3</w:t>
      </w:r>
      <w:r w:rsidR="004B1241">
        <w:rPr>
          <w:rFonts w:ascii="Tahoma" w:hAnsi="Tahoma" w:cs="Tahoma"/>
          <w:szCs w:val="24"/>
        </w:rPr>
        <w:t>7</w:t>
      </w:r>
      <w:r w:rsidR="00256442">
        <w:rPr>
          <w:rFonts w:ascii="Tahoma" w:hAnsi="Tahoma" w:cs="Tahoma"/>
          <w:szCs w:val="24"/>
        </w:rPr>
        <w:t>.</w:t>
      </w:r>
      <w:r w:rsidR="004B1241">
        <w:rPr>
          <w:rFonts w:ascii="Tahoma" w:hAnsi="Tahoma" w:cs="Tahoma"/>
          <w:szCs w:val="24"/>
        </w:rPr>
        <w:t>03</w:t>
      </w:r>
      <w:r>
        <w:rPr>
          <w:rFonts w:ascii="Tahoma" w:hAnsi="Tahoma" w:cs="Tahoma"/>
          <w:szCs w:val="24"/>
        </w:rPr>
        <w:t>%, equivalentes a $</w:t>
      </w:r>
      <w:r w:rsidR="004B1241">
        <w:rPr>
          <w:rFonts w:ascii="Tahoma" w:hAnsi="Tahoma" w:cs="Tahoma"/>
          <w:szCs w:val="24"/>
        </w:rPr>
        <w:t>25.277</w:t>
      </w:r>
      <w:r w:rsidR="00264A57">
        <w:rPr>
          <w:rFonts w:ascii="Tahoma" w:hAnsi="Tahoma" w:cs="Tahoma"/>
          <w:szCs w:val="24"/>
        </w:rPr>
        <w:t xml:space="preserve"> millones</w:t>
      </w:r>
      <w:r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con</w:t>
      </w:r>
      <w:r>
        <w:rPr>
          <w:rFonts w:ascii="Tahoma" w:hAnsi="Tahoma" w:cs="Tahoma"/>
          <w:szCs w:val="24"/>
        </w:rPr>
        <w:t xml:space="preserve"> relación al presupuesto inicial.</w:t>
      </w: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F51FE" w:rsidRDefault="00EF51FE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8C2EA2" w:rsidRDefault="008C2EA2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8C2EA2" w:rsidRDefault="008C2EA2" w:rsidP="00264A57">
      <w:pPr>
        <w:tabs>
          <w:tab w:val="left" w:pos="5696"/>
        </w:tabs>
        <w:spacing w:before="0" w:after="0"/>
        <w:jc w:val="center"/>
        <w:rPr>
          <w:rFonts w:ascii="Tahoma" w:hAnsi="Tahoma" w:cs="Tahoma"/>
          <w:szCs w:val="24"/>
        </w:rPr>
      </w:pPr>
      <w:r>
        <w:rPr>
          <w:rFonts w:ascii="Tahoma" w:hAnsi="Tahoma" w:cs="Tahoma"/>
          <w:noProof/>
          <w:szCs w:val="24"/>
        </w:rPr>
        <w:drawing>
          <wp:inline distT="0" distB="0" distL="0" distR="0">
            <wp:extent cx="5486400" cy="3200400"/>
            <wp:effectExtent l="0" t="0" r="19050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A77A4" w:rsidRDefault="00EA77A4" w:rsidP="00A44621">
      <w:pPr>
        <w:spacing w:before="0" w:after="0"/>
        <w:jc w:val="center"/>
        <w:rPr>
          <w:rFonts w:ascii="Tahoma" w:hAnsi="Tahoma" w:cs="Tahoma"/>
          <w:color w:val="auto"/>
          <w:szCs w:val="16"/>
        </w:rPr>
      </w:pPr>
    </w:p>
    <w:p w:rsidR="004F38FE" w:rsidRDefault="004F38FE" w:rsidP="001D6862">
      <w:pPr>
        <w:spacing w:before="0" w:after="0"/>
        <w:rPr>
          <w:rFonts w:ascii="Tahoma" w:hAnsi="Tahoma" w:cs="Tahoma"/>
          <w:b/>
          <w:szCs w:val="24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="00EA77A4">
        <w:rPr>
          <w:rFonts w:ascii="Tahoma" w:hAnsi="Tahoma" w:cs="Tahoma"/>
          <w:color w:val="auto"/>
        </w:rPr>
        <w:t>la Universidad del Tolima</w:t>
      </w:r>
      <w:r w:rsidRPr="00B65E8C">
        <w:rPr>
          <w:rFonts w:ascii="Tahoma" w:hAnsi="Tahoma" w:cs="Tahoma"/>
          <w:color w:val="auto"/>
        </w:rPr>
        <w:t xml:space="preserve"> 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EA77A4">
        <w:rPr>
          <w:rFonts w:ascii="Tahoma" w:hAnsi="Tahoma" w:cs="Tahoma"/>
          <w:color w:val="auto"/>
        </w:rPr>
        <w:t>148.852</w:t>
      </w:r>
      <w:r w:rsidR="00264A57">
        <w:rPr>
          <w:rFonts w:ascii="Tahoma" w:hAnsi="Tahoma" w:cs="Tahoma"/>
          <w:color w:val="auto"/>
        </w:rPr>
        <w:t xml:space="preserve"> millones</w:t>
      </w:r>
      <w:r w:rsidR="00EA77A4">
        <w:rPr>
          <w:rFonts w:ascii="Tahoma" w:hAnsi="Tahoma" w:cs="Tahoma"/>
          <w:color w:val="auto"/>
        </w:rPr>
        <w:t xml:space="preserve"> equivalentes al 76.79%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EA77A4">
        <w:rPr>
          <w:rFonts w:ascii="Tahoma" w:hAnsi="Tahoma" w:cs="Tahoma"/>
          <w:bCs/>
          <w:color w:val="auto"/>
        </w:rPr>
        <w:t>102.975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Pr="00B65E8C">
        <w:rPr>
          <w:rFonts w:ascii="Tahoma" w:hAnsi="Tahoma" w:cs="Tahoma"/>
          <w:bCs/>
          <w:color w:val="auto"/>
        </w:rPr>
        <w:t xml:space="preserve"> equivalentes al </w:t>
      </w:r>
      <w:r w:rsidR="00EA77A4">
        <w:rPr>
          <w:rFonts w:ascii="Tahoma" w:hAnsi="Tahoma" w:cs="Tahoma"/>
          <w:bCs/>
          <w:color w:val="auto"/>
        </w:rPr>
        <w:t>69.18%</w:t>
      </w:r>
      <w:r w:rsidRPr="00B65E8C">
        <w:rPr>
          <w:rFonts w:ascii="Tahoma" w:hAnsi="Tahoma" w:cs="Tahoma"/>
          <w:bCs/>
          <w:color w:val="auto"/>
        </w:rPr>
        <w:t xml:space="preserve"> e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4A7153">
        <w:rPr>
          <w:rFonts w:ascii="Tahoma" w:hAnsi="Tahoma" w:cs="Tahoma"/>
          <w:bCs/>
          <w:color w:val="auto"/>
        </w:rPr>
        <w:t>2</w:t>
      </w:r>
      <w:r w:rsidR="00EA77A4">
        <w:rPr>
          <w:rFonts w:ascii="Tahoma" w:hAnsi="Tahoma" w:cs="Tahoma"/>
          <w:bCs/>
          <w:color w:val="auto"/>
        </w:rPr>
        <w:t>9</w:t>
      </w:r>
      <w:r w:rsidR="004A7153">
        <w:rPr>
          <w:rFonts w:ascii="Tahoma" w:hAnsi="Tahoma" w:cs="Tahoma"/>
          <w:bCs/>
          <w:color w:val="auto"/>
        </w:rPr>
        <w:t>.0</w:t>
      </w:r>
      <w:r w:rsidR="00EA77A4">
        <w:rPr>
          <w:rFonts w:ascii="Tahoma" w:hAnsi="Tahoma" w:cs="Tahoma"/>
          <w:bCs/>
          <w:color w:val="auto"/>
        </w:rPr>
        <w:t>52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6E5817">
        <w:rPr>
          <w:rFonts w:ascii="Tahoma" w:hAnsi="Tahoma" w:cs="Tahoma"/>
          <w:bCs/>
          <w:color w:val="auto"/>
        </w:rPr>
        <w:t xml:space="preserve"> equivalentes al </w:t>
      </w:r>
      <w:r w:rsidR="00EA77A4">
        <w:rPr>
          <w:rFonts w:ascii="Tahoma" w:hAnsi="Tahoma" w:cs="Tahoma"/>
          <w:bCs/>
          <w:color w:val="auto"/>
        </w:rPr>
        <w:t>19.52</w:t>
      </w:r>
      <w:r w:rsidR="00C01693">
        <w:rPr>
          <w:rFonts w:ascii="Tahoma" w:hAnsi="Tahoma" w:cs="Tahoma"/>
          <w:bCs/>
          <w:color w:val="auto"/>
        </w:rPr>
        <w:t>%</w:t>
      </w:r>
      <w:r w:rsidR="00EA77A4">
        <w:rPr>
          <w:rFonts w:ascii="Tahoma" w:hAnsi="Tahoma" w:cs="Tahoma"/>
          <w:bCs/>
          <w:color w:val="auto"/>
        </w:rPr>
        <w:t xml:space="preserve"> y Reservas presupuestales por $16.824 millones equivalentes al 22.30%</w:t>
      </w:r>
      <w:r w:rsidR="00C01693">
        <w:rPr>
          <w:rFonts w:ascii="Tahoma" w:hAnsi="Tahoma" w:cs="Tahoma"/>
          <w:bCs/>
          <w:color w:val="auto"/>
        </w:rPr>
        <w:t xml:space="preserve">.  </w:t>
      </w:r>
      <w:r w:rsidR="00B15317">
        <w:rPr>
          <w:rFonts w:ascii="Tahoma" w:hAnsi="Tahoma" w:cs="Tahoma"/>
          <w:bCs/>
          <w:color w:val="auto"/>
        </w:rPr>
        <w:t>Ver</w:t>
      </w:r>
      <w:r w:rsidR="004F38FE">
        <w:rPr>
          <w:rFonts w:ascii="Tahoma" w:hAnsi="Tahoma" w:cs="Tahoma"/>
          <w:bCs/>
          <w:color w:val="auto"/>
        </w:rPr>
        <w:t xml:space="preserve"> tabla.</w:t>
      </w:r>
    </w:p>
    <w:p w:rsidR="00EA77A4" w:rsidRDefault="00EA77A4" w:rsidP="00EA77A4">
      <w:pPr>
        <w:jc w:val="both"/>
        <w:rPr>
          <w:rFonts w:ascii="Tahoma" w:hAnsi="Tahoma" w:cs="Tahoma"/>
          <w:u w:val="single"/>
        </w:rPr>
      </w:pPr>
      <w:r w:rsidRPr="001B7374">
        <w:rPr>
          <w:noProof/>
        </w:rPr>
        <w:drawing>
          <wp:inline distT="0" distB="0" distL="0" distR="0" wp14:anchorId="0BC161E9" wp14:editId="14D5D368">
            <wp:extent cx="5615940" cy="1478280"/>
            <wp:effectExtent l="0" t="0" r="3810" b="762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77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7A4" w:rsidRDefault="00EA77A4" w:rsidP="00EA77A4">
      <w:pPr>
        <w:jc w:val="both"/>
        <w:rPr>
          <w:rFonts w:ascii="Tahoma" w:hAnsi="Tahoma" w:cs="Tahoma"/>
          <w:sz w:val="18"/>
          <w:szCs w:val="18"/>
        </w:rPr>
      </w:pPr>
      <w:r w:rsidRPr="000865FD">
        <w:rPr>
          <w:rFonts w:ascii="Tahoma" w:hAnsi="Tahoma" w:cs="Tahoma"/>
          <w:sz w:val="18"/>
          <w:szCs w:val="18"/>
        </w:rPr>
        <w:t>Fuente ejecución de ingresos vigencia 2015</w:t>
      </w:r>
    </w:p>
    <w:p w:rsidR="004F38FE" w:rsidRDefault="004F38FE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040B1A" w:rsidRDefault="00454315" w:rsidP="001D6862">
      <w:pPr>
        <w:spacing w:before="0" w:after="0"/>
        <w:jc w:val="both"/>
        <w:rPr>
          <w:rFonts w:ascii="Tahoma" w:hAnsi="Tahoma" w:cs="Tahoma"/>
          <w:b/>
          <w:bCs/>
          <w:color w:val="auto"/>
        </w:rPr>
      </w:pPr>
      <w:r w:rsidRPr="00E71D96">
        <w:rPr>
          <w:rFonts w:ascii="Tahoma" w:hAnsi="Tahoma" w:cs="Tahoma"/>
          <w:b/>
          <w:bCs/>
          <w:color w:val="auto"/>
        </w:rPr>
        <w:t xml:space="preserve">COMPARATIVO DE </w:t>
      </w:r>
      <w:r w:rsidR="00926286">
        <w:rPr>
          <w:rFonts w:ascii="Tahoma" w:hAnsi="Tahoma" w:cs="Tahoma"/>
          <w:b/>
          <w:bCs/>
          <w:color w:val="auto"/>
        </w:rPr>
        <w:t>G</w:t>
      </w:r>
      <w:r w:rsidR="00F5220F">
        <w:rPr>
          <w:rFonts w:ascii="Tahoma" w:hAnsi="Tahoma" w:cs="Tahoma"/>
          <w:b/>
          <w:bCs/>
          <w:color w:val="auto"/>
        </w:rPr>
        <w:t>A</w:t>
      </w:r>
      <w:r w:rsidR="00926286">
        <w:rPr>
          <w:rFonts w:ascii="Tahoma" w:hAnsi="Tahoma" w:cs="Tahoma"/>
          <w:b/>
          <w:bCs/>
          <w:color w:val="auto"/>
        </w:rPr>
        <w:t>STOS COMPROMETIDOS</w:t>
      </w:r>
      <w:r w:rsidRPr="00E71D96">
        <w:rPr>
          <w:rFonts w:ascii="Tahoma" w:hAnsi="Tahoma" w:cs="Tahoma"/>
          <w:b/>
          <w:bCs/>
          <w:color w:val="auto"/>
        </w:rPr>
        <w:t xml:space="preserve"> 2014 – 2015</w:t>
      </w:r>
    </w:p>
    <w:p w:rsidR="00B15317" w:rsidRPr="00E71D96" w:rsidRDefault="00B15317" w:rsidP="001D6862">
      <w:pPr>
        <w:spacing w:before="0" w:after="0"/>
        <w:jc w:val="both"/>
        <w:rPr>
          <w:rFonts w:ascii="Tahoma" w:hAnsi="Tahoma" w:cs="Tahoma"/>
          <w:b/>
          <w:bCs/>
          <w:color w:val="auto"/>
        </w:rPr>
      </w:pPr>
    </w:p>
    <w:p w:rsidR="00454315" w:rsidRDefault="001725B3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1725B3">
        <w:drawing>
          <wp:inline distT="0" distB="0" distL="0" distR="0" wp14:anchorId="454B6CFF" wp14:editId="79A14401">
            <wp:extent cx="5612130" cy="1585595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315" w:rsidRDefault="00454315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D76FA2" w:rsidRDefault="00D76FA2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bCs/>
          <w:color w:val="auto"/>
        </w:rPr>
        <w:t xml:space="preserve">De lo anterior se pudo observar que </w:t>
      </w:r>
      <w:r w:rsidR="007E35B4">
        <w:rPr>
          <w:rFonts w:ascii="Tahoma" w:hAnsi="Tahoma" w:cs="Tahoma"/>
          <w:bCs/>
          <w:color w:val="auto"/>
        </w:rPr>
        <w:t>la ejecución del presupuesto de la vigencia 2015</w:t>
      </w:r>
      <w:r w:rsidR="00E15E67">
        <w:rPr>
          <w:rFonts w:ascii="Tahoma" w:hAnsi="Tahoma" w:cs="Tahoma"/>
          <w:bCs/>
          <w:color w:val="auto"/>
        </w:rPr>
        <w:t xml:space="preserve"> tuvo un</w:t>
      </w:r>
      <w:r w:rsidR="007B3A32">
        <w:rPr>
          <w:rFonts w:ascii="Tahoma" w:hAnsi="Tahoma" w:cs="Tahoma"/>
          <w:bCs/>
          <w:color w:val="auto"/>
        </w:rPr>
        <w:t>a</w:t>
      </w:r>
      <w:r w:rsidR="00E15E67">
        <w:rPr>
          <w:rFonts w:ascii="Tahoma" w:hAnsi="Tahoma" w:cs="Tahoma"/>
          <w:bCs/>
          <w:color w:val="auto"/>
        </w:rPr>
        <w:t xml:space="preserve"> </w:t>
      </w:r>
      <w:r w:rsidR="00585A7D">
        <w:rPr>
          <w:rFonts w:ascii="Tahoma" w:hAnsi="Tahoma" w:cs="Tahoma"/>
          <w:bCs/>
          <w:color w:val="auto"/>
        </w:rPr>
        <w:t>disminución del 11</w:t>
      </w:r>
      <w:r w:rsidR="007B3A32">
        <w:rPr>
          <w:rFonts w:ascii="Tahoma" w:hAnsi="Tahoma" w:cs="Tahoma"/>
          <w:bCs/>
          <w:color w:val="auto"/>
        </w:rPr>
        <w:t>.</w:t>
      </w:r>
      <w:r w:rsidR="00585A7D">
        <w:rPr>
          <w:rFonts w:ascii="Tahoma" w:hAnsi="Tahoma" w:cs="Tahoma"/>
          <w:bCs/>
          <w:color w:val="auto"/>
        </w:rPr>
        <w:t>14</w:t>
      </w:r>
      <w:r w:rsidR="007B3A32">
        <w:rPr>
          <w:rFonts w:ascii="Tahoma" w:hAnsi="Tahoma" w:cs="Tahoma"/>
          <w:bCs/>
          <w:color w:val="auto"/>
        </w:rPr>
        <w:t>%</w:t>
      </w:r>
      <w:r w:rsidR="00585A7D">
        <w:rPr>
          <w:rFonts w:ascii="Tahoma" w:hAnsi="Tahoma" w:cs="Tahoma"/>
          <w:bCs/>
          <w:color w:val="auto"/>
        </w:rPr>
        <w:t xml:space="preserve">, en relación a la vigencia 2014; donde los </w:t>
      </w:r>
      <w:r w:rsidR="001725B3">
        <w:rPr>
          <w:rFonts w:ascii="Tahoma" w:hAnsi="Tahoma" w:cs="Tahoma"/>
          <w:bCs/>
          <w:color w:val="auto"/>
        </w:rPr>
        <w:t xml:space="preserve">gastos de inversión </w:t>
      </w:r>
      <w:r w:rsidR="00585A7D">
        <w:rPr>
          <w:rFonts w:ascii="Tahoma" w:hAnsi="Tahoma" w:cs="Tahoma"/>
          <w:bCs/>
          <w:color w:val="auto"/>
        </w:rPr>
        <w:t>disminuyeron</w:t>
      </w:r>
      <w:r w:rsidR="001725B3">
        <w:rPr>
          <w:rFonts w:ascii="Tahoma" w:hAnsi="Tahoma" w:cs="Tahoma"/>
          <w:bCs/>
          <w:color w:val="auto"/>
        </w:rPr>
        <w:t xml:space="preserve"> en un </w:t>
      </w:r>
      <w:r w:rsidR="00585A7D">
        <w:rPr>
          <w:rFonts w:ascii="Tahoma" w:hAnsi="Tahoma" w:cs="Tahoma"/>
          <w:bCs/>
          <w:color w:val="auto"/>
        </w:rPr>
        <w:t xml:space="preserve"> 24.77%</w:t>
      </w:r>
      <w:r w:rsidR="00E15E67">
        <w:rPr>
          <w:rFonts w:ascii="Tahoma" w:hAnsi="Tahoma" w:cs="Tahoma"/>
          <w:bCs/>
          <w:color w:val="auto"/>
        </w:rPr>
        <w:t>,</w:t>
      </w:r>
      <w:r w:rsidR="007B3A32">
        <w:rPr>
          <w:rFonts w:ascii="Tahoma" w:hAnsi="Tahoma" w:cs="Tahoma"/>
          <w:bCs/>
          <w:color w:val="auto"/>
        </w:rPr>
        <w:t xml:space="preserve"> y los Gastos de Funcionamiento aumentaron en un 12.39 en relación a la vigencia 2014. </w:t>
      </w:r>
    </w:p>
    <w:p w:rsidR="00D95BCE" w:rsidRPr="00741448" w:rsidRDefault="00D95BCE" w:rsidP="001D6862">
      <w:pPr>
        <w:spacing w:before="0" w:after="0"/>
        <w:jc w:val="center"/>
        <w:rPr>
          <w:rFonts w:ascii="Tahoma" w:hAnsi="Tahoma" w:cs="Tahoma"/>
          <w:b/>
        </w:rPr>
      </w:pPr>
    </w:p>
    <w:p w:rsidR="00524E1D" w:rsidRPr="00E924E2" w:rsidRDefault="005D655F" w:rsidP="001D6862">
      <w:pPr>
        <w:spacing w:before="0" w:after="0"/>
        <w:jc w:val="center"/>
        <w:rPr>
          <w:rFonts w:ascii="Tahoma" w:hAnsi="Tahoma" w:cs="Tahoma"/>
          <w:b/>
        </w:rPr>
      </w:pPr>
      <w:r w:rsidRPr="00741448">
        <w:rPr>
          <w:rFonts w:ascii="Tahoma" w:hAnsi="Tahoma" w:cs="Tahoma"/>
          <w:b/>
        </w:rPr>
        <w:t>C</w:t>
      </w:r>
      <w:r w:rsidR="00524E1D" w:rsidRPr="00741448">
        <w:rPr>
          <w:rFonts w:ascii="Tahoma" w:hAnsi="Tahoma" w:cs="Tahoma"/>
          <w:b/>
        </w:rPr>
        <w:t>APITULO 3</w:t>
      </w: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477304" w:rsidRDefault="007B3A32" w:rsidP="00B212C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3</w:t>
      </w:r>
      <w:r w:rsidR="008C7A2F" w:rsidRPr="00CA76CA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1</w:t>
      </w:r>
      <w:r w:rsidR="008C7A2F" w:rsidRPr="00CA76CA">
        <w:rPr>
          <w:rFonts w:ascii="Tahoma" w:hAnsi="Tahoma" w:cs="Tahoma"/>
          <w:b/>
        </w:rPr>
        <w:t xml:space="preserve"> RESULTADO ANALISIS PRESUPUESTAL</w:t>
      </w:r>
    </w:p>
    <w:p w:rsidR="00D327A0" w:rsidRPr="00CA76CA" w:rsidRDefault="00D327A0" w:rsidP="00B212CE">
      <w:pPr>
        <w:rPr>
          <w:rFonts w:ascii="Tahoma" w:hAnsi="Tahoma" w:cs="Tahoma"/>
          <w:b/>
        </w:rPr>
      </w:pPr>
    </w:p>
    <w:p w:rsidR="008C7A2F" w:rsidRPr="00CA76CA" w:rsidRDefault="00D327A0" w:rsidP="0077621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 bien cierto, la Universidad del Tolima en las últimas vigencias ha presentado déficit presupuestal, donde los compromisos fueron mayores a lo realmente recaudado y sin que estos fueran reconocidos legalmente en el presupuesto de cada vigencia, como lo determina el Decreto 111 de 1996, en su artículo 46.</w:t>
      </w:r>
      <w:r w:rsidR="00723CAB">
        <w:rPr>
          <w:rFonts w:ascii="Tahoma" w:hAnsi="Tahoma" w:cs="Tahoma"/>
        </w:rPr>
        <w:t xml:space="preserve">     </w:t>
      </w:r>
      <w:r w:rsidRPr="00BF2489">
        <w:rPr>
          <w:rFonts w:ascii="Tahoma" w:hAnsi="Tahoma" w:cs="Tahoma"/>
        </w:rPr>
        <w:t xml:space="preserve">Al cierre de la vigencia 2014 se presentó un déficit presupuestal en la suma de </w:t>
      </w:r>
      <w:r w:rsidRPr="00723CAB">
        <w:rPr>
          <w:rFonts w:ascii="Tahoma" w:hAnsi="Tahoma" w:cs="Tahoma"/>
          <w:b/>
        </w:rPr>
        <w:t>$13.660.749.170.38</w:t>
      </w:r>
      <w:r w:rsidRPr="00BF2489">
        <w:rPr>
          <w:rFonts w:ascii="Tahoma" w:hAnsi="Tahoma" w:cs="Tahoma"/>
        </w:rPr>
        <w:t>,  cifra que debió reconocerse e incorporarse al presupuesto de la vigencia 2015,  caso este que no ocurrió, y por consiguiente el presupuesto se ejecutó en su normalidad</w:t>
      </w:r>
      <w:r w:rsidR="00723CAB">
        <w:rPr>
          <w:rFonts w:ascii="Tahoma" w:hAnsi="Tahoma" w:cs="Tahoma"/>
        </w:rPr>
        <w:t xml:space="preserve">, ocasionando con ello al Déficit de la vigencia 2015 en $9.990.670.368.38.   </w:t>
      </w:r>
      <w:r w:rsidR="004F7914" w:rsidRPr="00CA76CA">
        <w:rPr>
          <w:rFonts w:ascii="Tahoma" w:hAnsi="Tahoma" w:cs="Tahoma"/>
        </w:rPr>
        <w:t>Ver Tabla.</w:t>
      </w:r>
    </w:p>
    <w:p w:rsidR="008C7A2F" w:rsidRDefault="008C7A2F" w:rsidP="00B212C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3"/>
        <w:gridCol w:w="2993"/>
        <w:gridCol w:w="2994"/>
      </w:tblGrid>
      <w:tr w:rsidR="00723CAB" w:rsidTr="00723CAB">
        <w:tc>
          <w:tcPr>
            <w:tcW w:w="2993" w:type="dxa"/>
          </w:tcPr>
          <w:p w:rsidR="00723CAB" w:rsidRPr="00B44FE7" w:rsidRDefault="00723CAB" w:rsidP="00B212CE">
            <w:pPr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993" w:type="dxa"/>
          </w:tcPr>
          <w:p w:rsidR="00723CAB" w:rsidRPr="00257741" w:rsidRDefault="00723CAB" w:rsidP="00B212CE">
            <w:pPr>
              <w:rPr>
                <w:b/>
              </w:rPr>
            </w:pPr>
            <w:r w:rsidRPr="00257741">
              <w:rPr>
                <w:b/>
              </w:rPr>
              <w:t>VIGENCIA 2014</w:t>
            </w:r>
          </w:p>
        </w:tc>
        <w:tc>
          <w:tcPr>
            <w:tcW w:w="2994" w:type="dxa"/>
          </w:tcPr>
          <w:p w:rsidR="00723CAB" w:rsidRPr="00257741" w:rsidRDefault="00723CAB" w:rsidP="00B212CE">
            <w:pPr>
              <w:rPr>
                <w:b/>
              </w:rPr>
            </w:pPr>
            <w:r w:rsidRPr="00257741">
              <w:rPr>
                <w:b/>
              </w:rPr>
              <w:t>VIGENCIA 2015</w:t>
            </w:r>
          </w:p>
        </w:tc>
      </w:tr>
      <w:tr w:rsidR="00723CAB" w:rsidTr="00723CAB">
        <w:tc>
          <w:tcPr>
            <w:tcW w:w="2993" w:type="dxa"/>
          </w:tcPr>
          <w:p w:rsidR="00723CAB" w:rsidRDefault="00723CAB" w:rsidP="00650681"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INGRESOS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>EFECTIVAMENTE RECAUDADOS</w:t>
            </w:r>
          </w:p>
        </w:tc>
        <w:tc>
          <w:tcPr>
            <w:tcW w:w="2993" w:type="dxa"/>
          </w:tcPr>
          <w:p w:rsidR="00650681" w:rsidRPr="002B6B82" w:rsidRDefault="00650681" w:rsidP="00650681">
            <w:pPr>
              <w:jc w:val="both"/>
              <w:rPr>
                <w:rFonts w:ascii="Tahoma" w:hAnsi="Tahoma" w:cs="Tahoma"/>
              </w:rPr>
            </w:pPr>
            <w:r w:rsidRPr="002B6B82">
              <w:rPr>
                <w:rFonts w:ascii="Tahoma" w:hAnsi="Tahoma" w:cs="Tahoma"/>
              </w:rPr>
              <w:t>$107.408.325.708.38</w:t>
            </w:r>
          </w:p>
          <w:p w:rsidR="00723CAB" w:rsidRDefault="00723CAB" w:rsidP="00B212CE"/>
        </w:tc>
        <w:tc>
          <w:tcPr>
            <w:tcW w:w="2994" w:type="dxa"/>
          </w:tcPr>
          <w:p w:rsidR="00650681" w:rsidRPr="00C82CBD" w:rsidRDefault="00650681" w:rsidP="00650681">
            <w:pPr>
              <w:jc w:val="both"/>
              <w:rPr>
                <w:rFonts w:ascii="Tahoma" w:hAnsi="Tahoma" w:cs="Tahoma"/>
              </w:rPr>
            </w:pPr>
            <w:r w:rsidRPr="00C82CBD">
              <w:rPr>
                <w:rFonts w:ascii="Tahoma" w:hAnsi="Tahoma" w:cs="Tahoma"/>
              </w:rPr>
              <w:t>$</w:t>
            </w:r>
            <w:r>
              <w:rPr>
                <w:rFonts w:ascii="Tahoma" w:hAnsi="Tahoma" w:cs="Tahoma"/>
              </w:rPr>
              <w:t>121.530.112.993.oo</w:t>
            </w:r>
          </w:p>
          <w:p w:rsidR="00723CAB" w:rsidRDefault="00723CAB" w:rsidP="00B212CE"/>
        </w:tc>
      </w:tr>
      <w:tr w:rsidR="00723CAB" w:rsidTr="00723CAB">
        <w:tc>
          <w:tcPr>
            <w:tcW w:w="2993" w:type="dxa"/>
          </w:tcPr>
          <w:p w:rsidR="00723CAB" w:rsidRDefault="00723CAB" w:rsidP="00650681"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GASTOS EFECTIVAMENTE COMPROMETIDOS</w:t>
            </w:r>
          </w:p>
        </w:tc>
        <w:tc>
          <w:tcPr>
            <w:tcW w:w="2993" w:type="dxa"/>
          </w:tcPr>
          <w:p w:rsidR="00650681" w:rsidRPr="002B6B82" w:rsidRDefault="00650681" w:rsidP="00650681">
            <w:pPr>
              <w:jc w:val="both"/>
              <w:rPr>
                <w:rFonts w:ascii="Tahoma" w:hAnsi="Tahoma" w:cs="Tahoma"/>
                <w:b/>
              </w:rPr>
            </w:pPr>
            <w:r w:rsidRPr="002B6B82">
              <w:rPr>
                <w:rFonts w:ascii="Tahoma" w:hAnsi="Tahoma" w:cs="Tahoma"/>
              </w:rPr>
              <w:t>$121.069.074.878.76</w:t>
            </w:r>
            <w:r w:rsidRPr="002B6B82">
              <w:rPr>
                <w:rFonts w:ascii="Tahoma" w:hAnsi="Tahoma" w:cs="Tahoma"/>
                <w:b/>
              </w:rPr>
              <w:t xml:space="preserve"> </w:t>
            </w:r>
          </w:p>
          <w:p w:rsidR="00723CAB" w:rsidRDefault="00723CAB" w:rsidP="00B212CE"/>
        </w:tc>
        <w:tc>
          <w:tcPr>
            <w:tcW w:w="2994" w:type="dxa"/>
          </w:tcPr>
          <w:p w:rsidR="00257741" w:rsidRPr="00257741" w:rsidRDefault="00257741" w:rsidP="00257741">
            <w:pPr>
              <w:jc w:val="both"/>
              <w:rPr>
                <w:rFonts w:ascii="Tahoma" w:hAnsi="Tahoma" w:cs="Tahoma"/>
                <w:lang w:val="es-ES"/>
              </w:rPr>
            </w:pPr>
            <w:r w:rsidRPr="00257741">
              <w:rPr>
                <w:rFonts w:ascii="Tahoma" w:hAnsi="Tahoma" w:cs="Tahoma"/>
                <w:lang w:val="es-ES"/>
              </w:rPr>
              <w:t>$117.860.034.191</w:t>
            </w:r>
            <w:r>
              <w:rPr>
                <w:rFonts w:ascii="Tahoma" w:hAnsi="Tahoma" w:cs="Tahoma"/>
                <w:lang w:val="es-ES"/>
              </w:rPr>
              <w:t>.oo</w:t>
            </w:r>
          </w:p>
          <w:p w:rsidR="00723CAB" w:rsidRDefault="00723CAB" w:rsidP="00B212CE"/>
        </w:tc>
      </w:tr>
      <w:tr w:rsidR="00723CAB" w:rsidTr="00723CAB">
        <w:tc>
          <w:tcPr>
            <w:tcW w:w="2993" w:type="dxa"/>
          </w:tcPr>
          <w:p w:rsidR="00723CAB" w:rsidRDefault="00723CAB" w:rsidP="00650681">
            <w:r w:rsidRPr="00650681"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  <w:t>DEFICIT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O  SUPERAVIT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>PRESUPUESTAL</w:t>
            </w:r>
          </w:p>
        </w:tc>
        <w:tc>
          <w:tcPr>
            <w:tcW w:w="2993" w:type="dxa"/>
          </w:tcPr>
          <w:p w:rsidR="00650681" w:rsidRPr="002B6B82" w:rsidRDefault="00257741" w:rsidP="00650681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-</w:t>
            </w:r>
            <w:r w:rsidR="00650681" w:rsidRPr="002B6B82">
              <w:rPr>
                <w:rFonts w:ascii="Tahoma" w:hAnsi="Tahoma" w:cs="Tahoma"/>
                <w:b/>
              </w:rPr>
              <w:t>$13.660.749.170.38</w:t>
            </w:r>
          </w:p>
          <w:p w:rsidR="00723CAB" w:rsidRDefault="00723CAB" w:rsidP="00B212CE"/>
        </w:tc>
        <w:tc>
          <w:tcPr>
            <w:tcW w:w="2994" w:type="dxa"/>
          </w:tcPr>
          <w:p w:rsidR="00257741" w:rsidRPr="00257741" w:rsidRDefault="00257741" w:rsidP="00257741">
            <w:pPr>
              <w:jc w:val="both"/>
              <w:rPr>
                <w:rFonts w:ascii="Tahoma" w:hAnsi="Tahoma" w:cs="Tahoma"/>
                <w:lang w:val="es-ES"/>
              </w:rPr>
            </w:pPr>
            <w:r w:rsidRPr="00257741">
              <w:rPr>
                <w:rFonts w:ascii="Tahoma" w:hAnsi="Tahoma" w:cs="Tahoma"/>
                <w:b/>
                <w:lang w:val="es-ES"/>
              </w:rPr>
              <w:t>$3.670.078.802</w:t>
            </w:r>
            <w:r w:rsidRPr="00257741">
              <w:rPr>
                <w:rFonts w:ascii="Tahoma" w:hAnsi="Tahoma" w:cs="Tahoma"/>
                <w:b/>
                <w:lang w:val="es-ES"/>
              </w:rPr>
              <w:t>.oo</w:t>
            </w:r>
            <w:r w:rsidRPr="00257741">
              <w:rPr>
                <w:rFonts w:ascii="Tahoma" w:hAnsi="Tahoma" w:cs="Tahoma"/>
                <w:lang w:val="es-ES"/>
              </w:rPr>
              <w:t xml:space="preserve"> </w:t>
            </w:r>
          </w:p>
          <w:p w:rsidR="00723CAB" w:rsidRDefault="00723CAB" w:rsidP="00B212CE"/>
        </w:tc>
      </w:tr>
      <w:tr w:rsidR="00257741" w:rsidTr="00723CAB">
        <w:tc>
          <w:tcPr>
            <w:tcW w:w="2993" w:type="dxa"/>
          </w:tcPr>
          <w:p w:rsidR="00257741" w:rsidRPr="00650681" w:rsidRDefault="00257741" w:rsidP="00650681">
            <w:pPr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  <w:t>TOTAL DEFICIT</w:t>
            </w:r>
            <w:r w:rsidR="00EC64DD"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  <w:t xml:space="preserve"> 2015</w:t>
            </w:r>
          </w:p>
        </w:tc>
        <w:tc>
          <w:tcPr>
            <w:tcW w:w="2993" w:type="dxa"/>
          </w:tcPr>
          <w:p w:rsidR="00257741" w:rsidRDefault="00257741" w:rsidP="00650681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994" w:type="dxa"/>
          </w:tcPr>
          <w:p w:rsidR="00257741" w:rsidRPr="00EC64DD" w:rsidRDefault="00257741" w:rsidP="00257741">
            <w:pPr>
              <w:jc w:val="both"/>
              <w:rPr>
                <w:rFonts w:ascii="Tahoma" w:hAnsi="Tahoma" w:cs="Tahoma"/>
                <w:b/>
                <w:lang w:val="es-ES"/>
              </w:rPr>
            </w:pPr>
            <w:r w:rsidRPr="00EC64DD">
              <w:rPr>
                <w:rFonts w:ascii="Tahoma" w:hAnsi="Tahoma" w:cs="Tahoma"/>
                <w:b/>
                <w:color w:val="FF0000"/>
                <w:lang w:val="es-ES"/>
              </w:rPr>
              <w:t>$9.990.670.368.38</w:t>
            </w:r>
          </w:p>
        </w:tc>
      </w:tr>
    </w:tbl>
    <w:p w:rsidR="00723CAB" w:rsidRDefault="00723CAB" w:rsidP="00EC64DD">
      <w:bookmarkStart w:id="0" w:name="_GoBack"/>
      <w:bookmarkEnd w:id="0"/>
    </w:p>
    <w:sectPr w:rsidR="00723CAB" w:rsidSect="00E566A8">
      <w:headerReference w:type="default" r:id="rId21"/>
      <w:footerReference w:type="default" r:id="rId22"/>
      <w:pgSz w:w="12242" w:h="15842" w:code="1"/>
      <w:pgMar w:top="2268" w:right="1701" w:bottom="2836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7FF" w:rsidRDefault="007737FF" w:rsidP="00650A99">
      <w:r>
        <w:separator/>
      </w:r>
    </w:p>
  </w:endnote>
  <w:endnote w:type="continuationSeparator" w:id="0">
    <w:p w:rsidR="007737FF" w:rsidRDefault="007737FF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41" w:rsidRPr="00070555" w:rsidRDefault="004B1241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F76D92" wp14:editId="33337021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1241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4B1241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4B1241" w:rsidRPr="00BB3D88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4B1241" w:rsidRPr="003205FF" w:rsidRDefault="007737FF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4B1241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4B1241" w:rsidRPr="000352F0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4B1241" w:rsidRPr="00BB3D88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4B1241" w:rsidRPr="00A926CE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4B1241" w:rsidRDefault="004B1241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4B1241" w:rsidRDefault="004B1241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4B1241" w:rsidRPr="00BB3D88" w:rsidRDefault="004B1241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4B1241" w:rsidRPr="003205FF" w:rsidRDefault="004B1241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4B1241" w:rsidRPr="000352F0" w:rsidRDefault="004B124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4B1241" w:rsidRPr="00BB3D88" w:rsidRDefault="004B124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4B1241" w:rsidRPr="00A926CE" w:rsidRDefault="004B124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7615FA7" wp14:editId="4D9F7650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1241" w:rsidRPr="003205FF" w:rsidRDefault="004B1241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EC64DD" w:rsidRPr="00EC64D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11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EC64DD" w:rsidRPr="00EC64D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11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4B1241" w:rsidRPr="003205FF" w:rsidRDefault="004B1241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EC64DD" w:rsidRPr="00EC64D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11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EC64DD" w:rsidRPr="00EC64D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11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4B1241" w:rsidRPr="00070555" w:rsidRDefault="004B1241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7FF" w:rsidRDefault="007737FF" w:rsidP="00650A99">
      <w:r>
        <w:separator/>
      </w:r>
    </w:p>
  </w:footnote>
  <w:footnote w:type="continuationSeparator" w:id="0">
    <w:p w:rsidR="007737FF" w:rsidRDefault="007737FF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41" w:rsidRPr="00124F58" w:rsidRDefault="004B1241">
    <w:pPr>
      <w:pStyle w:val="Encabezado"/>
      <w:rPr>
        <w:rFonts w:ascii="Tahoma" w:hAnsi="Tahoma" w:cs="Tahoma"/>
        <w:sz w:val="8"/>
      </w:rPr>
    </w:pPr>
  </w:p>
  <w:p w:rsidR="004B1241" w:rsidRDefault="004B1241">
    <w:pPr>
      <w:pStyle w:val="Encabezado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A6C54E8" wp14:editId="290236A7">
          <wp:simplePos x="0" y="0"/>
          <wp:positionH relativeFrom="column">
            <wp:posOffset>-75565</wp:posOffset>
          </wp:positionH>
          <wp:positionV relativeFrom="paragraph">
            <wp:posOffset>36195</wp:posOffset>
          </wp:positionV>
          <wp:extent cx="1400175" cy="1066165"/>
          <wp:effectExtent l="0" t="0" r="9525" b="63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08F4"/>
    <w:rsid w:val="00001B0E"/>
    <w:rsid w:val="0000466A"/>
    <w:rsid w:val="00004FE1"/>
    <w:rsid w:val="0000509C"/>
    <w:rsid w:val="00014DDB"/>
    <w:rsid w:val="000229B5"/>
    <w:rsid w:val="00025419"/>
    <w:rsid w:val="000344EC"/>
    <w:rsid w:val="0003468E"/>
    <w:rsid w:val="000352F0"/>
    <w:rsid w:val="0003642F"/>
    <w:rsid w:val="000367BB"/>
    <w:rsid w:val="00036DC1"/>
    <w:rsid w:val="000375A9"/>
    <w:rsid w:val="00040B1A"/>
    <w:rsid w:val="00043E5E"/>
    <w:rsid w:val="000448FA"/>
    <w:rsid w:val="00044B50"/>
    <w:rsid w:val="000479B3"/>
    <w:rsid w:val="00054A9B"/>
    <w:rsid w:val="00054CD9"/>
    <w:rsid w:val="0006131A"/>
    <w:rsid w:val="00062C97"/>
    <w:rsid w:val="000653AB"/>
    <w:rsid w:val="00070555"/>
    <w:rsid w:val="000711BD"/>
    <w:rsid w:val="000714F0"/>
    <w:rsid w:val="0007281C"/>
    <w:rsid w:val="00072FEB"/>
    <w:rsid w:val="00073152"/>
    <w:rsid w:val="00074463"/>
    <w:rsid w:val="00075575"/>
    <w:rsid w:val="00081209"/>
    <w:rsid w:val="00081BF9"/>
    <w:rsid w:val="00084A9E"/>
    <w:rsid w:val="00084FFA"/>
    <w:rsid w:val="00093AFB"/>
    <w:rsid w:val="00094D4C"/>
    <w:rsid w:val="000A1063"/>
    <w:rsid w:val="000A4D00"/>
    <w:rsid w:val="000B1067"/>
    <w:rsid w:val="000B2584"/>
    <w:rsid w:val="000B334F"/>
    <w:rsid w:val="000B45AA"/>
    <w:rsid w:val="000C19B8"/>
    <w:rsid w:val="000C2D28"/>
    <w:rsid w:val="000C524A"/>
    <w:rsid w:val="000C640F"/>
    <w:rsid w:val="000C699D"/>
    <w:rsid w:val="000D251E"/>
    <w:rsid w:val="000D715E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414B"/>
    <w:rsid w:val="001076B9"/>
    <w:rsid w:val="001077DC"/>
    <w:rsid w:val="00111B97"/>
    <w:rsid w:val="00113518"/>
    <w:rsid w:val="00120691"/>
    <w:rsid w:val="001206EF"/>
    <w:rsid w:val="00124F58"/>
    <w:rsid w:val="001301DF"/>
    <w:rsid w:val="00131E4E"/>
    <w:rsid w:val="00132C47"/>
    <w:rsid w:val="0013431C"/>
    <w:rsid w:val="001361E3"/>
    <w:rsid w:val="0014091C"/>
    <w:rsid w:val="0014355A"/>
    <w:rsid w:val="0014403D"/>
    <w:rsid w:val="00146B0F"/>
    <w:rsid w:val="0015068C"/>
    <w:rsid w:val="00150761"/>
    <w:rsid w:val="001531E5"/>
    <w:rsid w:val="00153A3B"/>
    <w:rsid w:val="001542DE"/>
    <w:rsid w:val="001605A0"/>
    <w:rsid w:val="0016372F"/>
    <w:rsid w:val="001641C1"/>
    <w:rsid w:val="00164E1E"/>
    <w:rsid w:val="001663AE"/>
    <w:rsid w:val="00166D26"/>
    <w:rsid w:val="0017250D"/>
    <w:rsid w:val="001725B3"/>
    <w:rsid w:val="00174209"/>
    <w:rsid w:val="001750E0"/>
    <w:rsid w:val="001771C0"/>
    <w:rsid w:val="00181EE3"/>
    <w:rsid w:val="001863EB"/>
    <w:rsid w:val="00196F51"/>
    <w:rsid w:val="001A3646"/>
    <w:rsid w:val="001A5473"/>
    <w:rsid w:val="001B0E71"/>
    <w:rsid w:val="001B29EB"/>
    <w:rsid w:val="001B475A"/>
    <w:rsid w:val="001B6C00"/>
    <w:rsid w:val="001B7E9B"/>
    <w:rsid w:val="001C15AD"/>
    <w:rsid w:val="001C1EA3"/>
    <w:rsid w:val="001C4742"/>
    <w:rsid w:val="001C5A39"/>
    <w:rsid w:val="001C7699"/>
    <w:rsid w:val="001D1B45"/>
    <w:rsid w:val="001D6862"/>
    <w:rsid w:val="001D7D6A"/>
    <w:rsid w:val="001E008D"/>
    <w:rsid w:val="001E0386"/>
    <w:rsid w:val="001E0C5A"/>
    <w:rsid w:val="001E19D5"/>
    <w:rsid w:val="001E2CF6"/>
    <w:rsid w:val="001E479B"/>
    <w:rsid w:val="001F0D65"/>
    <w:rsid w:val="001F11A4"/>
    <w:rsid w:val="001F3599"/>
    <w:rsid w:val="001F3E0C"/>
    <w:rsid w:val="001F7AEE"/>
    <w:rsid w:val="002016AE"/>
    <w:rsid w:val="00201E97"/>
    <w:rsid w:val="00202B7B"/>
    <w:rsid w:val="002049C5"/>
    <w:rsid w:val="00211946"/>
    <w:rsid w:val="00214DD0"/>
    <w:rsid w:val="00216974"/>
    <w:rsid w:val="00217489"/>
    <w:rsid w:val="002206E8"/>
    <w:rsid w:val="00224140"/>
    <w:rsid w:val="00226503"/>
    <w:rsid w:val="00230103"/>
    <w:rsid w:val="00231AC8"/>
    <w:rsid w:val="00231ECA"/>
    <w:rsid w:val="00233415"/>
    <w:rsid w:val="00250B2A"/>
    <w:rsid w:val="002510E7"/>
    <w:rsid w:val="0025448D"/>
    <w:rsid w:val="00254A87"/>
    <w:rsid w:val="0025641D"/>
    <w:rsid w:val="00256442"/>
    <w:rsid w:val="00256F6A"/>
    <w:rsid w:val="00257741"/>
    <w:rsid w:val="0026039E"/>
    <w:rsid w:val="002628DC"/>
    <w:rsid w:val="00264A57"/>
    <w:rsid w:val="00267A53"/>
    <w:rsid w:val="002702FE"/>
    <w:rsid w:val="002733BF"/>
    <w:rsid w:val="002751D2"/>
    <w:rsid w:val="00282118"/>
    <w:rsid w:val="00282A1A"/>
    <w:rsid w:val="00287CE6"/>
    <w:rsid w:val="00292AA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C19FA"/>
    <w:rsid w:val="002C24CB"/>
    <w:rsid w:val="002D5091"/>
    <w:rsid w:val="002D62AF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14840"/>
    <w:rsid w:val="0031584D"/>
    <w:rsid w:val="00317880"/>
    <w:rsid w:val="003203FA"/>
    <w:rsid w:val="003205FF"/>
    <w:rsid w:val="00321EC8"/>
    <w:rsid w:val="00322659"/>
    <w:rsid w:val="003305B2"/>
    <w:rsid w:val="00331060"/>
    <w:rsid w:val="00332DE4"/>
    <w:rsid w:val="00337AB0"/>
    <w:rsid w:val="0034022F"/>
    <w:rsid w:val="00341B3E"/>
    <w:rsid w:val="00351487"/>
    <w:rsid w:val="003539AE"/>
    <w:rsid w:val="003559D7"/>
    <w:rsid w:val="00356B3F"/>
    <w:rsid w:val="00362AAB"/>
    <w:rsid w:val="00365A25"/>
    <w:rsid w:val="00367CB1"/>
    <w:rsid w:val="00370F6C"/>
    <w:rsid w:val="00372933"/>
    <w:rsid w:val="00372F40"/>
    <w:rsid w:val="00373B6D"/>
    <w:rsid w:val="003751E2"/>
    <w:rsid w:val="00375CC7"/>
    <w:rsid w:val="003834EF"/>
    <w:rsid w:val="00383D8B"/>
    <w:rsid w:val="0039183D"/>
    <w:rsid w:val="00391C14"/>
    <w:rsid w:val="00394BA1"/>
    <w:rsid w:val="00394E7D"/>
    <w:rsid w:val="003956E5"/>
    <w:rsid w:val="00396E50"/>
    <w:rsid w:val="00397766"/>
    <w:rsid w:val="003A15E7"/>
    <w:rsid w:val="003A2A88"/>
    <w:rsid w:val="003A497B"/>
    <w:rsid w:val="003A5822"/>
    <w:rsid w:val="003B030A"/>
    <w:rsid w:val="003B3958"/>
    <w:rsid w:val="003B6AFE"/>
    <w:rsid w:val="003C33E8"/>
    <w:rsid w:val="003C5E57"/>
    <w:rsid w:val="003C703A"/>
    <w:rsid w:val="003D4B2C"/>
    <w:rsid w:val="003D7840"/>
    <w:rsid w:val="003F0FDF"/>
    <w:rsid w:val="003F4BDE"/>
    <w:rsid w:val="003F5E08"/>
    <w:rsid w:val="00400814"/>
    <w:rsid w:val="00401619"/>
    <w:rsid w:val="004032C1"/>
    <w:rsid w:val="00407637"/>
    <w:rsid w:val="00412036"/>
    <w:rsid w:val="004120E2"/>
    <w:rsid w:val="004158F0"/>
    <w:rsid w:val="00415CC3"/>
    <w:rsid w:val="00424864"/>
    <w:rsid w:val="00425FF4"/>
    <w:rsid w:val="004264E0"/>
    <w:rsid w:val="00430D77"/>
    <w:rsid w:val="004312CF"/>
    <w:rsid w:val="0043141A"/>
    <w:rsid w:val="00433EE8"/>
    <w:rsid w:val="00441F50"/>
    <w:rsid w:val="00441F85"/>
    <w:rsid w:val="00442664"/>
    <w:rsid w:val="0044795F"/>
    <w:rsid w:val="00452E65"/>
    <w:rsid w:val="00454315"/>
    <w:rsid w:val="00454B8B"/>
    <w:rsid w:val="004643ED"/>
    <w:rsid w:val="0046718C"/>
    <w:rsid w:val="004673F4"/>
    <w:rsid w:val="00467508"/>
    <w:rsid w:val="00467595"/>
    <w:rsid w:val="00471A9A"/>
    <w:rsid w:val="00473EB7"/>
    <w:rsid w:val="00477304"/>
    <w:rsid w:val="004803CC"/>
    <w:rsid w:val="00480FCA"/>
    <w:rsid w:val="00481490"/>
    <w:rsid w:val="0048203B"/>
    <w:rsid w:val="00482348"/>
    <w:rsid w:val="0048241E"/>
    <w:rsid w:val="00485A4C"/>
    <w:rsid w:val="00490E57"/>
    <w:rsid w:val="004939F0"/>
    <w:rsid w:val="00493CDB"/>
    <w:rsid w:val="00494AA1"/>
    <w:rsid w:val="00496461"/>
    <w:rsid w:val="00496A15"/>
    <w:rsid w:val="004A00E3"/>
    <w:rsid w:val="004A6393"/>
    <w:rsid w:val="004A698D"/>
    <w:rsid w:val="004A7153"/>
    <w:rsid w:val="004B10C8"/>
    <w:rsid w:val="004B1241"/>
    <w:rsid w:val="004B1676"/>
    <w:rsid w:val="004B3739"/>
    <w:rsid w:val="004B3A5F"/>
    <w:rsid w:val="004B791D"/>
    <w:rsid w:val="004B7B3F"/>
    <w:rsid w:val="004B7C3B"/>
    <w:rsid w:val="004C10FE"/>
    <w:rsid w:val="004C250E"/>
    <w:rsid w:val="004C27B6"/>
    <w:rsid w:val="004D0347"/>
    <w:rsid w:val="004D13A4"/>
    <w:rsid w:val="004E1489"/>
    <w:rsid w:val="004E17F3"/>
    <w:rsid w:val="004E3F57"/>
    <w:rsid w:val="004E585C"/>
    <w:rsid w:val="004E5B7D"/>
    <w:rsid w:val="004E655D"/>
    <w:rsid w:val="004E7767"/>
    <w:rsid w:val="004F0F16"/>
    <w:rsid w:val="004F2F93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C9"/>
    <w:rsid w:val="00515BBF"/>
    <w:rsid w:val="00516E68"/>
    <w:rsid w:val="005172FE"/>
    <w:rsid w:val="00517C86"/>
    <w:rsid w:val="00520FA4"/>
    <w:rsid w:val="00521391"/>
    <w:rsid w:val="005220BC"/>
    <w:rsid w:val="00524E1D"/>
    <w:rsid w:val="0052650A"/>
    <w:rsid w:val="00527649"/>
    <w:rsid w:val="005279E8"/>
    <w:rsid w:val="005325B4"/>
    <w:rsid w:val="0053385B"/>
    <w:rsid w:val="00536B82"/>
    <w:rsid w:val="0054263E"/>
    <w:rsid w:val="00551911"/>
    <w:rsid w:val="00551920"/>
    <w:rsid w:val="00552A0E"/>
    <w:rsid w:val="00552B7F"/>
    <w:rsid w:val="005540CE"/>
    <w:rsid w:val="00554A6E"/>
    <w:rsid w:val="00560B0C"/>
    <w:rsid w:val="00562B5C"/>
    <w:rsid w:val="00563D53"/>
    <w:rsid w:val="00565F73"/>
    <w:rsid w:val="00567980"/>
    <w:rsid w:val="005679E4"/>
    <w:rsid w:val="005760BF"/>
    <w:rsid w:val="00577624"/>
    <w:rsid w:val="00577ABF"/>
    <w:rsid w:val="00585A7D"/>
    <w:rsid w:val="00585BCF"/>
    <w:rsid w:val="00585ED0"/>
    <w:rsid w:val="005916D2"/>
    <w:rsid w:val="00591B11"/>
    <w:rsid w:val="00595C35"/>
    <w:rsid w:val="00595DA7"/>
    <w:rsid w:val="00595ED2"/>
    <w:rsid w:val="005A6091"/>
    <w:rsid w:val="005B1E55"/>
    <w:rsid w:val="005B6E10"/>
    <w:rsid w:val="005B6F12"/>
    <w:rsid w:val="005C0DCB"/>
    <w:rsid w:val="005C46B0"/>
    <w:rsid w:val="005D173F"/>
    <w:rsid w:val="005D17BC"/>
    <w:rsid w:val="005D4B42"/>
    <w:rsid w:val="005D655F"/>
    <w:rsid w:val="005D6B64"/>
    <w:rsid w:val="005E0E4A"/>
    <w:rsid w:val="005E1D3C"/>
    <w:rsid w:val="005E1DE9"/>
    <w:rsid w:val="005E5E78"/>
    <w:rsid w:val="005F11EA"/>
    <w:rsid w:val="005F4A02"/>
    <w:rsid w:val="005F5D93"/>
    <w:rsid w:val="00603AAD"/>
    <w:rsid w:val="00604208"/>
    <w:rsid w:val="0060752B"/>
    <w:rsid w:val="006075BD"/>
    <w:rsid w:val="006120DA"/>
    <w:rsid w:val="00617E98"/>
    <w:rsid w:val="00622F53"/>
    <w:rsid w:val="006309B9"/>
    <w:rsid w:val="00640913"/>
    <w:rsid w:val="00641842"/>
    <w:rsid w:val="00647994"/>
    <w:rsid w:val="00650681"/>
    <w:rsid w:val="00650A99"/>
    <w:rsid w:val="0065485A"/>
    <w:rsid w:val="0065545A"/>
    <w:rsid w:val="00664223"/>
    <w:rsid w:val="00670D69"/>
    <w:rsid w:val="00674492"/>
    <w:rsid w:val="0067483D"/>
    <w:rsid w:val="006753C6"/>
    <w:rsid w:val="00676443"/>
    <w:rsid w:val="006807AC"/>
    <w:rsid w:val="00682367"/>
    <w:rsid w:val="00685EF4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B0537"/>
    <w:rsid w:val="006B42FB"/>
    <w:rsid w:val="006B5985"/>
    <w:rsid w:val="006B765E"/>
    <w:rsid w:val="006C7116"/>
    <w:rsid w:val="006D2B4A"/>
    <w:rsid w:val="006D7C83"/>
    <w:rsid w:val="006E4583"/>
    <w:rsid w:val="006E5817"/>
    <w:rsid w:val="006F03F4"/>
    <w:rsid w:val="006F26B2"/>
    <w:rsid w:val="006F58C5"/>
    <w:rsid w:val="006F7B44"/>
    <w:rsid w:val="00700DA8"/>
    <w:rsid w:val="00700DB0"/>
    <w:rsid w:val="0070120A"/>
    <w:rsid w:val="00702901"/>
    <w:rsid w:val="007042C0"/>
    <w:rsid w:val="007050ED"/>
    <w:rsid w:val="007057E8"/>
    <w:rsid w:val="007062D9"/>
    <w:rsid w:val="00706545"/>
    <w:rsid w:val="00707F65"/>
    <w:rsid w:val="00712F01"/>
    <w:rsid w:val="00713F75"/>
    <w:rsid w:val="00723CAB"/>
    <w:rsid w:val="00725E02"/>
    <w:rsid w:val="00726264"/>
    <w:rsid w:val="0073154E"/>
    <w:rsid w:val="00735592"/>
    <w:rsid w:val="00736B63"/>
    <w:rsid w:val="00741448"/>
    <w:rsid w:val="00743253"/>
    <w:rsid w:val="00743E1A"/>
    <w:rsid w:val="00745063"/>
    <w:rsid w:val="00745F39"/>
    <w:rsid w:val="00747180"/>
    <w:rsid w:val="00751860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282"/>
    <w:rsid w:val="00773547"/>
    <w:rsid w:val="007737FF"/>
    <w:rsid w:val="00775756"/>
    <w:rsid w:val="00776215"/>
    <w:rsid w:val="007828B7"/>
    <w:rsid w:val="00782F33"/>
    <w:rsid w:val="0078344D"/>
    <w:rsid w:val="007877F3"/>
    <w:rsid w:val="00790020"/>
    <w:rsid w:val="00790739"/>
    <w:rsid w:val="00792612"/>
    <w:rsid w:val="00796DDA"/>
    <w:rsid w:val="007A4D8D"/>
    <w:rsid w:val="007B3A32"/>
    <w:rsid w:val="007B4882"/>
    <w:rsid w:val="007B5621"/>
    <w:rsid w:val="007B6AD6"/>
    <w:rsid w:val="007B70F7"/>
    <w:rsid w:val="007C336F"/>
    <w:rsid w:val="007C4270"/>
    <w:rsid w:val="007C450B"/>
    <w:rsid w:val="007C4578"/>
    <w:rsid w:val="007C532D"/>
    <w:rsid w:val="007D411F"/>
    <w:rsid w:val="007E1795"/>
    <w:rsid w:val="007E35B4"/>
    <w:rsid w:val="007E45F2"/>
    <w:rsid w:val="007F2F30"/>
    <w:rsid w:val="007F40C8"/>
    <w:rsid w:val="007F6500"/>
    <w:rsid w:val="007F7858"/>
    <w:rsid w:val="007F7C04"/>
    <w:rsid w:val="00800EA9"/>
    <w:rsid w:val="008032B9"/>
    <w:rsid w:val="008036D7"/>
    <w:rsid w:val="00804D2D"/>
    <w:rsid w:val="00806566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1EDD"/>
    <w:rsid w:val="00827082"/>
    <w:rsid w:val="00832014"/>
    <w:rsid w:val="00836C5C"/>
    <w:rsid w:val="008442CE"/>
    <w:rsid w:val="008445AE"/>
    <w:rsid w:val="00844F12"/>
    <w:rsid w:val="0084571C"/>
    <w:rsid w:val="00852E16"/>
    <w:rsid w:val="0085709B"/>
    <w:rsid w:val="00857DE1"/>
    <w:rsid w:val="00862093"/>
    <w:rsid w:val="00862E28"/>
    <w:rsid w:val="008647D1"/>
    <w:rsid w:val="00865165"/>
    <w:rsid w:val="00865411"/>
    <w:rsid w:val="00870C3E"/>
    <w:rsid w:val="0087308F"/>
    <w:rsid w:val="0087506E"/>
    <w:rsid w:val="008751D9"/>
    <w:rsid w:val="008761A0"/>
    <w:rsid w:val="00881C9C"/>
    <w:rsid w:val="0088732D"/>
    <w:rsid w:val="00896EAD"/>
    <w:rsid w:val="008A0307"/>
    <w:rsid w:val="008A3FB8"/>
    <w:rsid w:val="008A5D7F"/>
    <w:rsid w:val="008B0625"/>
    <w:rsid w:val="008B30C9"/>
    <w:rsid w:val="008B7176"/>
    <w:rsid w:val="008C00FD"/>
    <w:rsid w:val="008C2780"/>
    <w:rsid w:val="008C2EA2"/>
    <w:rsid w:val="008C73D6"/>
    <w:rsid w:val="008C7A2F"/>
    <w:rsid w:val="008D04FA"/>
    <w:rsid w:val="008E2ADB"/>
    <w:rsid w:val="008E40B7"/>
    <w:rsid w:val="008E6775"/>
    <w:rsid w:val="008E78EB"/>
    <w:rsid w:val="008F5A3F"/>
    <w:rsid w:val="008F6815"/>
    <w:rsid w:val="00901C37"/>
    <w:rsid w:val="00902FDE"/>
    <w:rsid w:val="009058D0"/>
    <w:rsid w:val="00907660"/>
    <w:rsid w:val="00913AD5"/>
    <w:rsid w:val="00914565"/>
    <w:rsid w:val="00915224"/>
    <w:rsid w:val="00926286"/>
    <w:rsid w:val="00926317"/>
    <w:rsid w:val="00926B45"/>
    <w:rsid w:val="00934CE3"/>
    <w:rsid w:val="00942F02"/>
    <w:rsid w:val="00943029"/>
    <w:rsid w:val="00943767"/>
    <w:rsid w:val="00950A8A"/>
    <w:rsid w:val="00953438"/>
    <w:rsid w:val="00956098"/>
    <w:rsid w:val="009606B3"/>
    <w:rsid w:val="00961788"/>
    <w:rsid w:val="0096241A"/>
    <w:rsid w:val="00966EAD"/>
    <w:rsid w:val="00973D1A"/>
    <w:rsid w:val="0097536C"/>
    <w:rsid w:val="0097627C"/>
    <w:rsid w:val="0098143F"/>
    <w:rsid w:val="00982549"/>
    <w:rsid w:val="009848DF"/>
    <w:rsid w:val="00986F71"/>
    <w:rsid w:val="00990B51"/>
    <w:rsid w:val="0099278C"/>
    <w:rsid w:val="00996A17"/>
    <w:rsid w:val="009A236F"/>
    <w:rsid w:val="009A3F4E"/>
    <w:rsid w:val="009A5596"/>
    <w:rsid w:val="009A7AA1"/>
    <w:rsid w:val="009B2860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5D05"/>
    <w:rsid w:val="009F0492"/>
    <w:rsid w:val="009F0FBE"/>
    <w:rsid w:val="009F248B"/>
    <w:rsid w:val="009F6412"/>
    <w:rsid w:val="00A0382D"/>
    <w:rsid w:val="00A05791"/>
    <w:rsid w:val="00A05F58"/>
    <w:rsid w:val="00A07EF9"/>
    <w:rsid w:val="00A13AE4"/>
    <w:rsid w:val="00A31BD0"/>
    <w:rsid w:val="00A329EF"/>
    <w:rsid w:val="00A34FD5"/>
    <w:rsid w:val="00A36083"/>
    <w:rsid w:val="00A36A80"/>
    <w:rsid w:val="00A43CD6"/>
    <w:rsid w:val="00A44621"/>
    <w:rsid w:val="00A47C6A"/>
    <w:rsid w:val="00A47CA0"/>
    <w:rsid w:val="00A566FE"/>
    <w:rsid w:val="00A57CC2"/>
    <w:rsid w:val="00A6251D"/>
    <w:rsid w:val="00A654D7"/>
    <w:rsid w:val="00A65971"/>
    <w:rsid w:val="00A66750"/>
    <w:rsid w:val="00A70182"/>
    <w:rsid w:val="00A70BA7"/>
    <w:rsid w:val="00A72A13"/>
    <w:rsid w:val="00A744EC"/>
    <w:rsid w:val="00A7495A"/>
    <w:rsid w:val="00A839F4"/>
    <w:rsid w:val="00A85837"/>
    <w:rsid w:val="00A926CE"/>
    <w:rsid w:val="00A9371D"/>
    <w:rsid w:val="00A97894"/>
    <w:rsid w:val="00A97CAD"/>
    <w:rsid w:val="00A97FDD"/>
    <w:rsid w:val="00AA0FB7"/>
    <w:rsid w:val="00AA1C68"/>
    <w:rsid w:val="00AA5D20"/>
    <w:rsid w:val="00AA690A"/>
    <w:rsid w:val="00AA75DD"/>
    <w:rsid w:val="00AB37B1"/>
    <w:rsid w:val="00AB4FFD"/>
    <w:rsid w:val="00AC2164"/>
    <w:rsid w:val="00AC2B0C"/>
    <w:rsid w:val="00AC4815"/>
    <w:rsid w:val="00AC4CBD"/>
    <w:rsid w:val="00AC6DD0"/>
    <w:rsid w:val="00AD0C4B"/>
    <w:rsid w:val="00AD3A74"/>
    <w:rsid w:val="00AD56DB"/>
    <w:rsid w:val="00AD7A50"/>
    <w:rsid w:val="00AE23D3"/>
    <w:rsid w:val="00AE45E6"/>
    <w:rsid w:val="00AE7B84"/>
    <w:rsid w:val="00AF00AF"/>
    <w:rsid w:val="00AF217C"/>
    <w:rsid w:val="00AF5E1D"/>
    <w:rsid w:val="00AF7171"/>
    <w:rsid w:val="00AF71D3"/>
    <w:rsid w:val="00B03E66"/>
    <w:rsid w:val="00B10F99"/>
    <w:rsid w:val="00B11E2E"/>
    <w:rsid w:val="00B1396D"/>
    <w:rsid w:val="00B15317"/>
    <w:rsid w:val="00B179EC"/>
    <w:rsid w:val="00B17D06"/>
    <w:rsid w:val="00B212CE"/>
    <w:rsid w:val="00B229DE"/>
    <w:rsid w:val="00B24C81"/>
    <w:rsid w:val="00B24EC6"/>
    <w:rsid w:val="00B258AA"/>
    <w:rsid w:val="00B26183"/>
    <w:rsid w:val="00B33ABA"/>
    <w:rsid w:val="00B36BB2"/>
    <w:rsid w:val="00B401FB"/>
    <w:rsid w:val="00B430BE"/>
    <w:rsid w:val="00B44FE7"/>
    <w:rsid w:val="00B51E12"/>
    <w:rsid w:val="00B5275F"/>
    <w:rsid w:val="00B57DCE"/>
    <w:rsid w:val="00B61CF6"/>
    <w:rsid w:val="00B62473"/>
    <w:rsid w:val="00B6483D"/>
    <w:rsid w:val="00B65E8C"/>
    <w:rsid w:val="00B74F06"/>
    <w:rsid w:val="00B761E4"/>
    <w:rsid w:val="00B8182A"/>
    <w:rsid w:val="00B82557"/>
    <w:rsid w:val="00B83B9D"/>
    <w:rsid w:val="00B83BF2"/>
    <w:rsid w:val="00B8540B"/>
    <w:rsid w:val="00B864A6"/>
    <w:rsid w:val="00B9099F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2EB5"/>
    <w:rsid w:val="00BB3D88"/>
    <w:rsid w:val="00BC2190"/>
    <w:rsid w:val="00BC265C"/>
    <w:rsid w:val="00BC3C07"/>
    <w:rsid w:val="00BD34BB"/>
    <w:rsid w:val="00BD39F4"/>
    <w:rsid w:val="00BD4C82"/>
    <w:rsid w:val="00BE1C07"/>
    <w:rsid w:val="00BE325A"/>
    <w:rsid w:val="00BE515D"/>
    <w:rsid w:val="00BF3F76"/>
    <w:rsid w:val="00BF5E4B"/>
    <w:rsid w:val="00C00289"/>
    <w:rsid w:val="00C009FE"/>
    <w:rsid w:val="00C01693"/>
    <w:rsid w:val="00C0395D"/>
    <w:rsid w:val="00C03A42"/>
    <w:rsid w:val="00C0423C"/>
    <w:rsid w:val="00C10AAC"/>
    <w:rsid w:val="00C12F15"/>
    <w:rsid w:val="00C142B1"/>
    <w:rsid w:val="00C20CA8"/>
    <w:rsid w:val="00C20E26"/>
    <w:rsid w:val="00C2227E"/>
    <w:rsid w:val="00C22DBE"/>
    <w:rsid w:val="00C276A2"/>
    <w:rsid w:val="00C32B9A"/>
    <w:rsid w:val="00C32E28"/>
    <w:rsid w:val="00C3332E"/>
    <w:rsid w:val="00C334D1"/>
    <w:rsid w:val="00C36BE7"/>
    <w:rsid w:val="00C37A7B"/>
    <w:rsid w:val="00C43064"/>
    <w:rsid w:val="00C46A08"/>
    <w:rsid w:val="00C47D9E"/>
    <w:rsid w:val="00C51797"/>
    <w:rsid w:val="00C541A9"/>
    <w:rsid w:val="00C54674"/>
    <w:rsid w:val="00C54A4A"/>
    <w:rsid w:val="00C55945"/>
    <w:rsid w:val="00C56A9B"/>
    <w:rsid w:val="00C572C4"/>
    <w:rsid w:val="00C65605"/>
    <w:rsid w:val="00C6685D"/>
    <w:rsid w:val="00C66C5A"/>
    <w:rsid w:val="00C70370"/>
    <w:rsid w:val="00C70B40"/>
    <w:rsid w:val="00C72CA5"/>
    <w:rsid w:val="00C72D32"/>
    <w:rsid w:val="00C769E0"/>
    <w:rsid w:val="00C86CA5"/>
    <w:rsid w:val="00CA1EFC"/>
    <w:rsid w:val="00CA637D"/>
    <w:rsid w:val="00CA669B"/>
    <w:rsid w:val="00CA6D9C"/>
    <w:rsid w:val="00CA76CA"/>
    <w:rsid w:val="00CB47E0"/>
    <w:rsid w:val="00CB6457"/>
    <w:rsid w:val="00CB6D39"/>
    <w:rsid w:val="00CC0170"/>
    <w:rsid w:val="00CC59C1"/>
    <w:rsid w:val="00CC74DC"/>
    <w:rsid w:val="00CD3A6C"/>
    <w:rsid w:val="00CE6524"/>
    <w:rsid w:val="00CF0493"/>
    <w:rsid w:val="00CF11FD"/>
    <w:rsid w:val="00CF7230"/>
    <w:rsid w:val="00D02D35"/>
    <w:rsid w:val="00D03B46"/>
    <w:rsid w:val="00D05FE1"/>
    <w:rsid w:val="00D200BE"/>
    <w:rsid w:val="00D204CE"/>
    <w:rsid w:val="00D2101C"/>
    <w:rsid w:val="00D23393"/>
    <w:rsid w:val="00D27BCA"/>
    <w:rsid w:val="00D327A0"/>
    <w:rsid w:val="00D33A0E"/>
    <w:rsid w:val="00D34898"/>
    <w:rsid w:val="00D373F0"/>
    <w:rsid w:val="00D37BAF"/>
    <w:rsid w:val="00D42439"/>
    <w:rsid w:val="00D4672B"/>
    <w:rsid w:val="00D47B0A"/>
    <w:rsid w:val="00D51763"/>
    <w:rsid w:val="00D534DF"/>
    <w:rsid w:val="00D613CB"/>
    <w:rsid w:val="00D65EB0"/>
    <w:rsid w:val="00D6703A"/>
    <w:rsid w:val="00D718F8"/>
    <w:rsid w:val="00D71C09"/>
    <w:rsid w:val="00D76FA2"/>
    <w:rsid w:val="00D774B6"/>
    <w:rsid w:val="00D86264"/>
    <w:rsid w:val="00D95BCE"/>
    <w:rsid w:val="00D9794C"/>
    <w:rsid w:val="00DA07E0"/>
    <w:rsid w:val="00DA12F2"/>
    <w:rsid w:val="00DA6502"/>
    <w:rsid w:val="00DB7F92"/>
    <w:rsid w:val="00DC5A57"/>
    <w:rsid w:val="00DD0981"/>
    <w:rsid w:val="00DD0F92"/>
    <w:rsid w:val="00DD5CA9"/>
    <w:rsid w:val="00DD6F21"/>
    <w:rsid w:val="00DD7B6A"/>
    <w:rsid w:val="00DE4790"/>
    <w:rsid w:val="00DE4F3C"/>
    <w:rsid w:val="00DE59DF"/>
    <w:rsid w:val="00DF05CB"/>
    <w:rsid w:val="00DF220C"/>
    <w:rsid w:val="00DF240E"/>
    <w:rsid w:val="00DF4D29"/>
    <w:rsid w:val="00DF6119"/>
    <w:rsid w:val="00E00EAB"/>
    <w:rsid w:val="00E058B1"/>
    <w:rsid w:val="00E10692"/>
    <w:rsid w:val="00E111B6"/>
    <w:rsid w:val="00E12256"/>
    <w:rsid w:val="00E14628"/>
    <w:rsid w:val="00E15028"/>
    <w:rsid w:val="00E15E67"/>
    <w:rsid w:val="00E17C90"/>
    <w:rsid w:val="00E2010C"/>
    <w:rsid w:val="00E21B5E"/>
    <w:rsid w:val="00E2269A"/>
    <w:rsid w:val="00E255C8"/>
    <w:rsid w:val="00E27D3B"/>
    <w:rsid w:val="00E30E3E"/>
    <w:rsid w:val="00E3143C"/>
    <w:rsid w:val="00E319A8"/>
    <w:rsid w:val="00E31AA7"/>
    <w:rsid w:val="00E324E3"/>
    <w:rsid w:val="00E35F1F"/>
    <w:rsid w:val="00E37D46"/>
    <w:rsid w:val="00E40368"/>
    <w:rsid w:val="00E4268B"/>
    <w:rsid w:val="00E42DEF"/>
    <w:rsid w:val="00E438FA"/>
    <w:rsid w:val="00E44E11"/>
    <w:rsid w:val="00E508CB"/>
    <w:rsid w:val="00E52376"/>
    <w:rsid w:val="00E535D9"/>
    <w:rsid w:val="00E55115"/>
    <w:rsid w:val="00E562E9"/>
    <w:rsid w:val="00E566A8"/>
    <w:rsid w:val="00E56795"/>
    <w:rsid w:val="00E60742"/>
    <w:rsid w:val="00E71D96"/>
    <w:rsid w:val="00E745B9"/>
    <w:rsid w:val="00E80BDE"/>
    <w:rsid w:val="00E80CF1"/>
    <w:rsid w:val="00E85A59"/>
    <w:rsid w:val="00E95500"/>
    <w:rsid w:val="00EA0EA6"/>
    <w:rsid w:val="00EA16AE"/>
    <w:rsid w:val="00EA3144"/>
    <w:rsid w:val="00EA4545"/>
    <w:rsid w:val="00EA542C"/>
    <w:rsid w:val="00EA6661"/>
    <w:rsid w:val="00EA77A4"/>
    <w:rsid w:val="00EB0D83"/>
    <w:rsid w:val="00EB230A"/>
    <w:rsid w:val="00EC14DD"/>
    <w:rsid w:val="00EC2A11"/>
    <w:rsid w:val="00EC36EF"/>
    <w:rsid w:val="00EC3FCA"/>
    <w:rsid w:val="00EC4437"/>
    <w:rsid w:val="00EC64DD"/>
    <w:rsid w:val="00ED18CB"/>
    <w:rsid w:val="00EE23CA"/>
    <w:rsid w:val="00EE272E"/>
    <w:rsid w:val="00EE30F0"/>
    <w:rsid w:val="00EE40F7"/>
    <w:rsid w:val="00EE543C"/>
    <w:rsid w:val="00EF0F9F"/>
    <w:rsid w:val="00EF1F54"/>
    <w:rsid w:val="00EF4447"/>
    <w:rsid w:val="00EF51FE"/>
    <w:rsid w:val="00EF645F"/>
    <w:rsid w:val="00EF7F03"/>
    <w:rsid w:val="00F06007"/>
    <w:rsid w:val="00F067EF"/>
    <w:rsid w:val="00F06B21"/>
    <w:rsid w:val="00F10463"/>
    <w:rsid w:val="00F21145"/>
    <w:rsid w:val="00F237C2"/>
    <w:rsid w:val="00F343E9"/>
    <w:rsid w:val="00F344D5"/>
    <w:rsid w:val="00F413A2"/>
    <w:rsid w:val="00F41E22"/>
    <w:rsid w:val="00F437B7"/>
    <w:rsid w:val="00F50DE8"/>
    <w:rsid w:val="00F5220F"/>
    <w:rsid w:val="00F525B8"/>
    <w:rsid w:val="00F55C6E"/>
    <w:rsid w:val="00F57D5F"/>
    <w:rsid w:val="00F6393E"/>
    <w:rsid w:val="00F64422"/>
    <w:rsid w:val="00F74A4C"/>
    <w:rsid w:val="00F766D0"/>
    <w:rsid w:val="00F77DD0"/>
    <w:rsid w:val="00F832D1"/>
    <w:rsid w:val="00F83E8B"/>
    <w:rsid w:val="00F84B99"/>
    <w:rsid w:val="00F8609F"/>
    <w:rsid w:val="00F86B59"/>
    <w:rsid w:val="00F90888"/>
    <w:rsid w:val="00F95E8D"/>
    <w:rsid w:val="00FA1478"/>
    <w:rsid w:val="00FA240A"/>
    <w:rsid w:val="00FA47DA"/>
    <w:rsid w:val="00FA4824"/>
    <w:rsid w:val="00FA4922"/>
    <w:rsid w:val="00FA4C6D"/>
    <w:rsid w:val="00FB1D70"/>
    <w:rsid w:val="00FB2024"/>
    <w:rsid w:val="00FC3737"/>
    <w:rsid w:val="00FC413F"/>
    <w:rsid w:val="00FD082E"/>
    <w:rsid w:val="00FD0FB5"/>
    <w:rsid w:val="00FD1869"/>
    <w:rsid w:val="00FD52EC"/>
    <w:rsid w:val="00FD53F7"/>
    <w:rsid w:val="00FD777A"/>
    <w:rsid w:val="00FE090E"/>
    <w:rsid w:val="00FE1BB9"/>
    <w:rsid w:val="00FE3B2D"/>
    <w:rsid w:val="00FE5384"/>
    <w:rsid w:val="00FF4F90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50A99"/>
  </w:style>
  <w:style w:type="paragraph" w:styleId="Piedepgina">
    <w:name w:val="footer"/>
    <w:basedOn w:val="Normal"/>
    <w:link w:val="PiedepginaCar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50A99"/>
  </w:style>
  <w:style w:type="paragraph" w:styleId="Piedepgina">
    <w:name w:val="footer"/>
    <w:basedOn w:val="Normal"/>
    <w:link w:val="PiedepginaCar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3.xm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image" Target="../media/image4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image" Target="../media/image4.jpe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E:\INFORME%20FISCAL%20Y%20FINANCIERO\2015\ENTIDADES%20DESCENTRALIZADAS\UNIVERSIDAD%20DEL%20TOLIMA\CUADROS%20INGRESOS%20-%20GASTOS-%20ULTIMO.xls" TargetMode="External"/><Relationship Id="rId1" Type="http://schemas.openxmlformats.org/officeDocument/2006/relationships/image" Target="../media/image4.jpeg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#,##0_);_(* \(#,##0\);_(* "-"??_);_(@_)</c:formatCode>
                <c:ptCount val="1"/>
                <c:pt idx="0">
                  <c:v>170009599681.47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#,##0_);_(* \(#,##0\);_(* "-"??_);_(@_)</c:formatCode>
                <c:ptCount val="1"/>
                <c:pt idx="0">
                  <c:v>64733857792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#,##0_);_(* \(#,##0\);_(* "-"??_);_(@_)</c:formatCode>
                <c:ptCount val="1"/>
                <c:pt idx="0">
                  <c:v>40903638563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_(* #,##0_);_(* \(#,##0\);_(* "-"??_);_(@_)</c:formatCode>
                <c:ptCount val="1"/>
                <c:pt idx="0">
                  <c:v>193839818911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66336640"/>
        <c:axId val="67359488"/>
        <c:axId val="111664640"/>
      </c:bar3DChart>
      <c:catAx>
        <c:axId val="66336640"/>
        <c:scaling>
          <c:orientation val="minMax"/>
        </c:scaling>
        <c:delete val="0"/>
        <c:axPos val="b"/>
        <c:majorTickMark val="out"/>
        <c:minorTickMark val="none"/>
        <c:tickLblPos val="nextTo"/>
        <c:crossAx val="67359488"/>
        <c:crosses val="autoZero"/>
        <c:auto val="1"/>
        <c:lblAlgn val="ctr"/>
        <c:lblOffset val="100"/>
        <c:noMultiLvlLbl val="0"/>
      </c:catAx>
      <c:valAx>
        <c:axId val="67359488"/>
        <c:scaling>
          <c:orientation val="minMax"/>
        </c:scaling>
        <c:delete val="0"/>
        <c:axPos val="l"/>
        <c:majorGridlines/>
        <c:numFmt formatCode="_(* #,##0_);_(* \(#,##0\);_(* &quot;-&quot;??_);_(@_)" sourceLinked="1"/>
        <c:majorTickMark val="out"/>
        <c:minorTickMark val="none"/>
        <c:tickLblPos val="nextTo"/>
        <c:crossAx val="66336640"/>
        <c:crosses val="autoZero"/>
        <c:crossBetween val="between"/>
      </c:valAx>
      <c:serAx>
        <c:axId val="111664640"/>
        <c:scaling>
          <c:orientation val="minMax"/>
        </c:scaling>
        <c:delete val="0"/>
        <c:axPos val="b"/>
        <c:majorTickMark val="out"/>
        <c:minorTickMark val="none"/>
        <c:tickLblPos val="nextTo"/>
        <c:crossAx val="673594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28.98%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44.66%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20.47%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Hoja1!$A$2:$A$4</c:f>
              <c:strCache>
                <c:ptCount val="3"/>
                <c:pt idx="0">
                  <c:v>Rentas Propias  28.98%</c:v>
                </c:pt>
                <c:pt idx="1">
                  <c:v>Transferencias Recibidas 44.66%</c:v>
                </c:pt>
                <c:pt idx="2">
                  <c:v>Recursos de Capital   20.47%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49266080994</c:v>
                </c:pt>
                <c:pt idx="1">
                  <c:v>75930328947</c:v>
                </c:pt>
                <c:pt idx="2">
                  <c:v>34805517355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6.2073855351414409E-2"/>
          <c:y val="0.20235146743020763"/>
          <c:w val="0.52644229367162443"/>
          <c:h val="0.6891608208064901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PRINCIPALES FUENTES DE FINANCIACION</c:v>
                </c:pt>
              </c:strCache>
            </c:strRef>
          </c:tx>
          <c:explosion val="25"/>
          <c:dPt>
            <c:idx val="6"/>
            <c:bubble3D val="0"/>
            <c:explosion val="24"/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RENTAS PROPIAS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TRANSFERENCIAS RECIBIDAS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454861111111111E-2"/>
                  <c:y val="-2.34938596892022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1505231116943715"/>
                  <c:y val="0.1137986160820806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FONDOS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6.6583916593759118E-2"/>
                  <c:y val="0.150807683130517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Fondo de contigencias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Hoja1!$A$2:$A$5</c:f>
              <c:strCache>
                <c:ptCount val="4"/>
                <c:pt idx="0">
                  <c:v>Rentas Propias   28.70%</c:v>
                </c:pt>
                <c:pt idx="1">
                  <c:v>Transferencias Recibidas 29.00%</c:v>
                </c:pt>
                <c:pt idx="2">
                  <c:v>Recursos de Capital   12.82%</c:v>
                </c:pt>
                <c:pt idx="3">
                  <c:v>Fondos  17.50%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55623</c:v>
                </c:pt>
                <c:pt idx="1">
                  <c:v>56211</c:v>
                </c:pt>
                <c:pt idx="2">
                  <c:v>24843</c:v>
                </c:pt>
                <c:pt idx="3">
                  <c:v>33916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4928277194517356"/>
          <c:y val="0.12281183602049744"/>
          <c:w val="0.2229394502770487"/>
          <c:h val="0.83353737032870889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/>
              <a:t>GASTOS DE FUNCIONAMIENTO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78.70%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11.42%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9.30%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0.58%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Hoja1!$A$2:$A$5</c:f>
              <c:strCache>
                <c:ptCount val="4"/>
                <c:pt idx="0">
                  <c:v>Gastos de Personal  78.70%</c:v>
                </c:pt>
                <c:pt idx="1">
                  <c:v>Gastos Generales  11.42%</c:v>
                </c:pt>
                <c:pt idx="2">
                  <c:v>Transferencias corrientes 9.30%</c:v>
                </c:pt>
                <c:pt idx="3">
                  <c:v>Gastos de comercialización  0.58%</c:v>
                </c:pt>
              </c:strCache>
            </c:strRef>
          </c:cat>
          <c:val>
            <c:numRef>
              <c:f>Hoja1!$B$2:$B$5</c:f>
              <c:numCache>
                <c:formatCode>_(* #,##0_);_(* \(#,##0\);_(* "-"??_);_(@_)</c:formatCode>
                <c:ptCount val="4"/>
                <c:pt idx="0">
                  <c:v>78000000</c:v>
                </c:pt>
                <c:pt idx="1">
                  <c:v>11000000</c:v>
                </c:pt>
                <c:pt idx="2">
                  <c:v>9000000</c:v>
                </c:pt>
                <c:pt idx="3">
                  <c:v>582000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'GRAFICO-GTOS-GRACIE'!$C$2:$C$11</c:f>
              <c:strCache>
                <c:ptCount val="10"/>
                <c:pt idx="0">
                  <c:v> EJE 1: EXCELENCIA ACADEMICA </c:v>
                </c:pt>
                <c:pt idx="1">
                  <c:v> EJE 2: COMPROMISO SOCIAL </c:v>
                </c:pt>
                <c:pt idx="2">
                  <c:v> EJE 3: COMPROMISO AMBIENTAL </c:v>
                </c:pt>
                <c:pt idx="3">
                  <c:v> EJE 4: EFICIENCIA Y TRANSPARENCIA ADMINISTRATIVA </c:v>
                </c:pt>
                <c:pt idx="4">
                  <c:v> INVERSIONES DE POSGRADOS </c:v>
                </c:pt>
                <c:pt idx="5">
                  <c:v> INVERSIONES DEEDUCACION CONTINUADA </c:v>
                </c:pt>
                <c:pt idx="6">
                  <c:v> INVERSIONES  DE CONVENIOS </c:v>
                </c:pt>
                <c:pt idx="7">
                  <c:v> PRESUPUESTO DE INVERSION FONDO DE INVESTIGACIONES </c:v>
                </c:pt>
                <c:pt idx="8">
                  <c:v> PRESUPUESTO DE INVERSION CERE </c:v>
                </c:pt>
                <c:pt idx="9">
                  <c:v> Aportes del Departamento 2010 y 2011 y diferencia 2013-2014 </c:v>
                </c:pt>
              </c:strCache>
            </c:strRef>
          </c:cat>
          <c:val>
            <c:numRef>
              <c:f>'GRAFICO-GTOS-GRACIE'!$D$2:$D$11</c:f>
              <c:numCache>
                <c:formatCode>_(* #,##0_);_(* \(#,##0\);_(* "-"_);_(@_)</c:formatCode>
                <c:ptCount val="10"/>
                <c:pt idx="0">
                  <c:v>9336503667</c:v>
                </c:pt>
                <c:pt idx="1">
                  <c:v>5385402119</c:v>
                </c:pt>
                <c:pt idx="2">
                  <c:v>549369571</c:v>
                </c:pt>
                <c:pt idx="3">
                  <c:v>36724444781</c:v>
                </c:pt>
                <c:pt idx="4">
                  <c:v>936739904</c:v>
                </c:pt>
                <c:pt idx="5">
                  <c:v>664447509</c:v>
                </c:pt>
                <c:pt idx="6">
                  <c:v>213529700</c:v>
                </c:pt>
                <c:pt idx="7" formatCode="&quot;$&quot;#,##0_);[Red]\(&quot;$&quot;#,##0\)">
                  <c:v>3327563712</c:v>
                </c:pt>
                <c:pt idx="8">
                  <c:v>32831485</c:v>
                </c:pt>
                <c:pt idx="9">
                  <c:v>11083282037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0329600"/>
        <c:axId val="170331136"/>
      </c:barChart>
      <c:catAx>
        <c:axId val="170329600"/>
        <c:scaling>
          <c:orientation val="minMax"/>
        </c:scaling>
        <c:delete val="0"/>
        <c:axPos val="b"/>
        <c:majorTickMark val="out"/>
        <c:minorTickMark val="none"/>
        <c:tickLblPos val="nextTo"/>
        <c:crossAx val="170331136"/>
        <c:crosses val="autoZero"/>
        <c:auto val="1"/>
        <c:lblAlgn val="ctr"/>
        <c:lblOffset val="100"/>
        <c:noMultiLvlLbl val="0"/>
      </c:catAx>
      <c:valAx>
        <c:axId val="170331136"/>
        <c:scaling>
          <c:orientation val="minMax"/>
        </c:scaling>
        <c:delete val="0"/>
        <c:axPos val="l"/>
        <c:majorGridlines/>
        <c:numFmt formatCode="_(* #,##0_);_(* \(#,##0\);_(* &quot;-&quot;_);_(@_)" sourceLinked="1"/>
        <c:majorTickMark val="out"/>
        <c:minorTickMark val="none"/>
        <c:tickLblPos val="nextTo"/>
        <c:crossAx val="1703296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Hoja1!$A$2:$A$3</c:f>
              <c:strCache>
                <c:ptCount val="2"/>
                <c:pt idx="0">
                  <c:v>Gastos de Funcionamiento</c:v>
                </c:pt>
                <c:pt idx="1">
                  <c:v>Gastos de Inversion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100376</c:v>
                </c:pt>
                <c:pt idx="1">
                  <c:v>68254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Hoja1!$A$2:$A$3</c:f>
              <c:strCache>
                <c:ptCount val="2"/>
                <c:pt idx="0">
                  <c:v>Gastos de Funcionamiento</c:v>
                </c:pt>
                <c:pt idx="1">
                  <c:v>Gastos de Inversion</c:v>
                </c:pt>
              </c:strCache>
            </c:strRef>
          </c:cat>
          <c:val>
            <c:numRef>
              <c:f>Hoja1!$C$2:$C$3</c:f>
              <c:numCache>
                <c:formatCode>General</c:formatCode>
                <c:ptCount val="2"/>
                <c:pt idx="0">
                  <c:v>4514</c:v>
                </c:pt>
                <c:pt idx="1">
                  <c:v>25277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Hoja1!$A$2:$A$3</c:f>
              <c:strCache>
                <c:ptCount val="2"/>
                <c:pt idx="0">
                  <c:v>Gastos de Funcionamiento</c:v>
                </c:pt>
                <c:pt idx="1">
                  <c:v>Gastos de Inversion</c:v>
                </c:pt>
              </c:strCache>
            </c:strRef>
          </c:cat>
          <c:val>
            <c:numRef>
              <c:f>Hoja1!$D$2:$D$3</c:f>
              <c:numCache>
                <c:formatCode>General</c:formatCode>
                <c:ptCount val="2"/>
                <c:pt idx="0">
                  <c:v>103106</c:v>
                </c:pt>
                <c:pt idx="1">
                  <c:v>56314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0185984"/>
        <c:axId val="102350848"/>
      </c:barChart>
      <c:catAx>
        <c:axId val="250185984"/>
        <c:scaling>
          <c:orientation val="minMax"/>
        </c:scaling>
        <c:delete val="0"/>
        <c:axPos val="b"/>
        <c:majorTickMark val="out"/>
        <c:minorTickMark val="none"/>
        <c:tickLblPos val="nextTo"/>
        <c:crossAx val="102350848"/>
        <c:crosses val="autoZero"/>
        <c:auto val="1"/>
        <c:lblAlgn val="ctr"/>
        <c:lblOffset val="100"/>
        <c:noMultiLvlLbl val="0"/>
      </c:catAx>
      <c:valAx>
        <c:axId val="102350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01859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86813-362D-4324-8502-C6E86CAF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9046</TotalTime>
  <Pages>11</Pages>
  <Words>1468</Words>
  <Characters>8076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HAROLD</cp:lastModifiedBy>
  <cp:revision>240</cp:revision>
  <cp:lastPrinted>2014-07-25T20:07:00Z</cp:lastPrinted>
  <dcterms:created xsi:type="dcterms:W3CDTF">2016-07-21T21:23:00Z</dcterms:created>
  <dcterms:modified xsi:type="dcterms:W3CDTF">2016-10-27T20:38:00Z</dcterms:modified>
</cp:coreProperties>
</file>