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3AA" w:rsidRPr="001553AA" w:rsidRDefault="0067758A" w:rsidP="001553AA">
      <w:pPr>
        <w:pStyle w:val="Prrafodelista"/>
        <w:numPr>
          <w:ilvl w:val="0"/>
          <w:numId w:val="50"/>
        </w:numPr>
        <w:rPr>
          <w:b/>
        </w:rPr>
      </w:pPr>
      <w:bookmarkStart w:id="0" w:name="_GoBack"/>
      <w:bookmarkEnd w:id="0"/>
      <w:r w:rsidRPr="0067758A">
        <w:rPr>
          <w:rFonts w:ascii="Tahoma" w:hAnsi="Tahoma" w:cs="Tahoma"/>
          <w:b/>
        </w:rPr>
        <w:t xml:space="preserve">BALANCE GENERAL COMPARATIVO </w:t>
      </w:r>
    </w:p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</w:p>
    <w:tbl>
      <w:tblPr>
        <w:tblW w:w="10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1400"/>
        <w:gridCol w:w="1600"/>
        <w:gridCol w:w="1360"/>
        <w:gridCol w:w="1360"/>
      </w:tblGrid>
      <w:tr w:rsidR="005D57CC" w:rsidRPr="005D57CC" w:rsidTr="005D57CC">
        <w:trPr>
          <w:trHeight w:val="255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5D57CC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Dptal. Federico Lleras Acosta - Ibagué </w:t>
            </w:r>
          </w:p>
        </w:tc>
      </w:tr>
      <w:tr w:rsidR="005D57CC" w:rsidRPr="005D57CC" w:rsidTr="005D57CC">
        <w:trPr>
          <w:trHeight w:val="300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5D57CC" w:rsidRPr="005D57CC" w:rsidTr="005D57CC">
        <w:trPr>
          <w:trHeight w:val="2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5D57CC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5D57CC" w:rsidRPr="005D57CC" w:rsidTr="005D57CC">
        <w:trPr>
          <w:trHeight w:val="525"/>
        </w:trPr>
        <w:tc>
          <w:tcPr>
            <w:tcW w:w="43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CC00FF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D57C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00FF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D57C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00FF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D57C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C00FF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D57C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00FF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5D57CC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212,196,505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191,183,419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21,013,086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10.99%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4,967,453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20,164,914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-15,197,461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-75.37%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4,962,573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20,160,176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-15,197,603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-75.38%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E INSTRUMENTOS DERIVADOS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101,962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101,962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46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INVERSIONES PATRIMONIALES EN ENTIDADES NO CONTROLADAS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101,962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101,962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89,623,686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61,876,157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27,747,529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44.84%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70,524,017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56,252,943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14,271,074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25.37%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18,218,281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18,218,281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46,642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46,642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ENTREGADOS EN GARANTÍA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319,334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5,107,802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-4,788,468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-93.75%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515,412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57,965,964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-57,450,552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-99.11%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DEUDAS DE DIFÍCIL RECAUDO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55,842,680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57,965,964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-2,123,284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-3.66%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-55,842,680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-57,965,964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2,123,284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-3.66%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857,567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1,759,425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-901,858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-51.26%</w:t>
            </w:r>
          </w:p>
        </w:tc>
      </w:tr>
      <w:tr w:rsidR="005D57CC" w:rsidRPr="005D57CC" w:rsidTr="00645911">
        <w:trPr>
          <w:trHeight w:val="278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PRESTACIÓN DE SERVICIOS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645,264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1,226,428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-581,164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-47.39%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EN TRÁNSITO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230,388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592,616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-362,228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-61.12%</w:t>
            </w:r>
          </w:p>
        </w:tc>
      </w:tr>
      <w:tr w:rsidR="005D57CC" w:rsidRPr="005D57CC" w:rsidTr="00645911">
        <w:trPr>
          <w:trHeight w:val="269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PRESTACIÓN DE SERVICIOS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230,388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230,388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EN PODER DE TERCEROS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-6,889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-84.00%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PROTECCIÓN DE INVENTARIOS (CR)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-19,397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-67,820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48,423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-71.40%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37,375,203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35,664,636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1,710,567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4.80%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5,882,630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5,882,630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CONSTRUCCIONES EN CURSO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10,282,753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8,386,524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1,896,229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22.61%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2,732,081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1,149,641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1,582,440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137.65%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NO EXPLOTADOS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2,181,312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2,168,527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12,785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0.59%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18,375,306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18,375,306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957,934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957,934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858,191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843,343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14,848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1.76%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17,277,735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17,167,775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109,960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0.64%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2,612,908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2,607,124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5,784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0.22%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EQUIPOS DE COMUNICACIÓN Y COMPUTACIÓN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3,989,748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3,964,031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25,717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0.65%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674,845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674,845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586,167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586,167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-29,036,407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-27,099,211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-1,937,196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7.15%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79,270,634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71,616,325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7,654,309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10.69%</w:t>
            </w:r>
          </w:p>
        </w:tc>
      </w:tr>
      <w:tr w:rsidR="005D57CC" w:rsidRPr="005D57CC" w:rsidTr="00645911">
        <w:trPr>
          <w:trHeight w:val="278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Y SERVICIOS PAGADOS POR ANTICIPADO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5,270,140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4,268,946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1,001,194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23.45%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412,113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382,191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29,922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7.83%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ARTE Y CULTURA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229,089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229,089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1,717,625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1,627,642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89,983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5.53%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DE INTANGIBLES (CR)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-1,657,793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-1,489,875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-167,918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11.27%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73,299,460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66,598,332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6,701,128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10.06%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86,779,299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86,841,830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-62,531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-0.07%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63,257,424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66,517,114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-3,259,690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-4.90%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36,023,383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36,023,383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26,509,851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28,641,792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-2,131,941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-7.44%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410,876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225,541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185,335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82.17%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9,557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1,240,139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-1,230,582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-99.23%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RECIBIDOS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129,615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178,154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-48,539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-27.25%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CRÉDITOS JUDICIALES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174,142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359,046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-184,904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-51.50%</w:t>
            </w:r>
          </w:p>
        </w:tc>
      </w:tr>
      <w:tr w:rsidR="005D57CC" w:rsidRPr="005D57CC" w:rsidTr="005D57CC">
        <w:trPr>
          <w:trHeight w:val="45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8,392,316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6,617,730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1,774,586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26.82%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8,392,316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6,617,730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1,774,586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26.82%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14,655,607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13,216,735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1,438,872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10.89%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11,764,919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10,298,729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1,466,190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14.24%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 DIVERSAS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2,890,688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2,918,006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-27,318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-0.94%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473,952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490,251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-16,299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-3.32%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246,827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221,611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25,216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11.38%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RECIBIDOS POR ANTICIPADO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227,125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268,640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-41,515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-15.45%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125,417,206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104,341,589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21,075,617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20.20%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125,417,206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104,341,589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21,075,617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20.20%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28,625,302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16,330,415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12,294,887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75.29%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DEL EJERCICIO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14,141,087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12,294,889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1,846,198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15.02%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8,739,751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8,735,239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4,512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0.05%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73,299,460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66,598,332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6,701,128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10.06%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REVALORIZACIÓN DEL PATRIMONIO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55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INCORPORADO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378,000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5D57CC" w:rsidRPr="005D57CC" w:rsidTr="005D57CC">
        <w:trPr>
          <w:trHeight w:val="27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EFECTO DEL SANEAMIENTO CONTABLE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228,892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228,892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57CC" w:rsidRPr="005D57CC" w:rsidRDefault="005D57CC" w:rsidP="005D57CC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5D57CC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</w:tbl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</w:p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Hospital Federico Lleras Acosta, en su Balance General a diciembre 31 de 2015, registra un incremento en sus activos del 10.99%, para una variación absoluta de $21.013.086, el Pasivo una variación mínima de -0.07% y  el Patrimonio un crecimiento del 20.20%.</w:t>
      </w:r>
    </w:p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</w:p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incremento del activo, se debió principalmente al aumento de la cuenta Deudores la cual creció a una tasa del 44.84%, es decir la suma de $27.747.529 miles de pesos, comparado con lo reflejado en la vigencia 2014.</w:t>
      </w:r>
    </w:p>
    <w:p w:rsidR="005D57CC" w:rsidRDefault="005D57CC" w:rsidP="00481C55">
      <w:pPr>
        <w:spacing w:before="0" w:after="0"/>
        <w:jc w:val="both"/>
        <w:rPr>
          <w:rFonts w:ascii="Tahoma" w:hAnsi="Tahoma" w:cs="Tahoma"/>
        </w:rPr>
      </w:pPr>
    </w:p>
    <w:p w:rsidR="009F3562" w:rsidRDefault="005D57CC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Propiedad Planta y Equipo</w:t>
      </w:r>
      <w:r w:rsidR="009F3562">
        <w:rPr>
          <w:rFonts w:ascii="Tahoma" w:hAnsi="Tahoma" w:cs="Tahoma"/>
        </w:rPr>
        <w:t>, también incremento su saldo para la vigencia 2015 en el 4.80%, a suma de $1.710.567, dentro de esta las cuentas que más reflejan crecimiento son las Construcciones en Curso y los Bienes Muebles en Bodega con el 22.61% y el 137.65%.</w:t>
      </w:r>
    </w:p>
    <w:p w:rsidR="009F3562" w:rsidRDefault="009F3562" w:rsidP="00481C55">
      <w:pPr>
        <w:spacing w:before="0" w:after="0"/>
        <w:jc w:val="both"/>
        <w:rPr>
          <w:rFonts w:ascii="Tahoma" w:hAnsi="Tahoma" w:cs="Tahoma"/>
        </w:rPr>
      </w:pPr>
    </w:p>
    <w:p w:rsidR="009F3562" w:rsidRDefault="009F3562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Otros Activos por su parte, también aumentaron en el 10.69%, la suma de $7.654.309 miles de pesos.</w:t>
      </w:r>
    </w:p>
    <w:p w:rsidR="009F3562" w:rsidRDefault="009F3562" w:rsidP="00481C55">
      <w:pPr>
        <w:spacing w:before="0" w:after="0"/>
        <w:jc w:val="both"/>
        <w:rPr>
          <w:rFonts w:ascii="Tahoma" w:hAnsi="Tahoma" w:cs="Tahoma"/>
        </w:rPr>
      </w:pPr>
    </w:p>
    <w:p w:rsidR="00645911" w:rsidRDefault="009F3562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en lo que respecta al Pasivo muestra una reducción de tan solo el 0.07%, es decir la suma de $62.531 miles de pesos, es  así como las Cuentas por Pagar revelan una disminución del 4.90%, al pasar de un saldo en el 2014 por la suma de $</w:t>
      </w:r>
      <w:r w:rsidR="00645911">
        <w:rPr>
          <w:rFonts w:ascii="Tahoma" w:hAnsi="Tahoma" w:cs="Tahoma"/>
        </w:rPr>
        <w:t>66.517.114 miles de pesos, a un saldo en el 2015 de $63.257.424, para una variación absoluta de $3.259.690 miles de pesos.</w:t>
      </w:r>
    </w:p>
    <w:p w:rsidR="00645911" w:rsidRDefault="00645911" w:rsidP="00481C55">
      <w:pPr>
        <w:spacing w:before="0" w:after="0"/>
        <w:jc w:val="both"/>
        <w:rPr>
          <w:rFonts w:ascii="Tahoma" w:hAnsi="Tahoma" w:cs="Tahoma"/>
        </w:rPr>
      </w:pPr>
    </w:p>
    <w:p w:rsidR="00645911" w:rsidRDefault="00645911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el grupo de cuentas del Patrimonio reflejan un crecimiento del 20.20%, es decir la suma de $21.075.617 miles de pesos, respecto de las cifras presentadas en el balance de 2014.</w:t>
      </w:r>
    </w:p>
    <w:p w:rsidR="005D57CC" w:rsidRDefault="009F3562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="005D57CC">
        <w:rPr>
          <w:rFonts w:ascii="Tahoma" w:hAnsi="Tahoma" w:cs="Tahoma"/>
        </w:rPr>
        <w:t xml:space="preserve"> </w:t>
      </w:r>
    </w:p>
    <w:p w:rsidR="005D57CC" w:rsidRDefault="00645911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5D6F25CE">
            <wp:extent cx="5705475" cy="2076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267" cy="2078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D7D" w:rsidRPr="006467C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lastRenderedPageBreak/>
        <w:t>ESTADO DE ACTIVIDAD FINANCIERA, ECONÓMICA, SOCIAL Y AMBIENTAL COMPARATIVO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20"/>
        <w:gridCol w:w="1400"/>
        <w:gridCol w:w="1360"/>
        <w:gridCol w:w="1400"/>
      </w:tblGrid>
      <w:tr w:rsidR="009E50DF" w:rsidRPr="009E50DF" w:rsidTr="009E50DF">
        <w:trPr>
          <w:trHeight w:val="30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9E50DF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Dptal. Federico Lleras Acosta - Ibagué </w:t>
            </w:r>
          </w:p>
        </w:tc>
      </w:tr>
      <w:tr w:rsidR="009E50DF" w:rsidRPr="009E50DF" w:rsidTr="009E50DF">
        <w:trPr>
          <w:trHeight w:val="30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Financiera, Económica y Social Comparativo 2015 - 2014</w:t>
            </w:r>
          </w:p>
        </w:tc>
      </w:tr>
      <w:tr w:rsidR="009E50DF" w:rsidRPr="009E50DF" w:rsidTr="009E50DF">
        <w:trPr>
          <w:trHeight w:val="27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DF" w:rsidRPr="009E50DF" w:rsidRDefault="009E50DF" w:rsidP="009E50D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DF" w:rsidRPr="009E50DF" w:rsidRDefault="009E50DF" w:rsidP="009E50D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DF" w:rsidRPr="009E50DF" w:rsidRDefault="009E50DF" w:rsidP="009E50D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DF" w:rsidRPr="009E50DF" w:rsidRDefault="009E50DF" w:rsidP="009E50D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0DF" w:rsidRPr="009E50DF" w:rsidRDefault="009E50DF" w:rsidP="009E50DF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9E50DF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9E50DF" w:rsidRPr="009E50DF" w:rsidTr="009E50DF">
        <w:trPr>
          <w:trHeight w:val="525"/>
        </w:trPr>
        <w:tc>
          <w:tcPr>
            <w:tcW w:w="39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CC00FF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E50DF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00FF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E50DF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00FF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E50DF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C00FF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E50DF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00FF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9E50DF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132,351,462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128,005,596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4,345,866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3.40%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FISCALES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352,275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253,461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98,814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38.99%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NO TRIBUTARIOS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352,275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253,461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98,814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38.99%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96,668,944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90,138,728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6,530,216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7.24%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96,668,949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90,138,865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6,530,084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7.24%</w:t>
            </w:r>
          </w:p>
        </w:tc>
      </w:tr>
      <w:tr w:rsidR="009E50DF" w:rsidRPr="009E50DF" w:rsidTr="009E50DF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DEVOLUCIONES, REBAJAS Y DESCUENTOS EN VENTA DE SERVICIOS (DB)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       (5)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   (137)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    132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-96.35%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23,231,964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24,639,170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(1,407,206)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-5.71%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23,231,964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24,639,170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(1,407,206)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-5.71%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12,098,279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12,974,237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(875,958)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-6.75%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303,301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82,284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221,017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268.60%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1,477,808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3,761,855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(2,284,047)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-60.72%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8,789,508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7,260,450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1,529,058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21.06%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1,527,662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1,869,648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(341,986)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-18.29%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41,710,519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31,054,705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10,655,814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34.31%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11,997,049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9,911,722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2,085,327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21.04%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4,908,030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5,118,943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(210,913)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-4.12%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95,765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21,749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74,016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340.32%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859,365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957,850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(98,485)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-10.28%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185,361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204,551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(19,190)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-9.38%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5,314,057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3,021,245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2,292,812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75.89%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634,471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587,384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47,087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8.02%</w:t>
            </w:r>
          </w:p>
        </w:tc>
      </w:tr>
      <w:tr w:rsidR="009E50DF" w:rsidRPr="009E50DF" w:rsidTr="009E50DF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23,846,896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17,207,798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6,639,098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38.58%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17,687,000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14,028,447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3,658,553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26.08%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5,096,406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       -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5,096,406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9E50DF" w:rsidRPr="009E50DF" w:rsidTr="009E50DF">
        <w:trPr>
          <w:trHeight w:val="45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885,962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896,397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(10,435)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-1.16%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DE INTANGIBLES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177,528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276,259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(98,731)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-35.74%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5,866,574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3,935,185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1,931,389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49.08%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COMISIONES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  4,365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 86,576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(82,211)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-94.96%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 963,744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786,365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177,379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22.56%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2,727,125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  734,532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1,992,593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271.27%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2,171,340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2,327,712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  (156,372)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-6.72%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COSTOS DE VENTAS Y OPERACIÓN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76,499,856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84,656,002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(8,156,146)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-9.63%</w:t>
            </w:r>
          </w:p>
        </w:tc>
      </w:tr>
      <w:tr w:rsidR="009E50DF" w:rsidRPr="009E50DF" w:rsidTr="009E50DF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76,499,856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84,656,002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(8,156,146)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-9.63%</w:t>
            </w:r>
          </w:p>
        </w:tc>
      </w:tr>
      <w:tr w:rsidR="009E50DF" w:rsidRPr="009E50DF" w:rsidTr="009E50DF">
        <w:trPr>
          <w:trHeight w:val="27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76,499,856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 84,656,002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   (8,156,146)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0DF" w:rsidRPr="009E50DF" w:rsidRDefault="009E50DF" w:rsidP="009E50D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9E50DF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-9.63%</w:t>
            </w:r>
          </w:p>
        </w:tc>
      </w:tr>
    </w:tbl>
    <w:p w:rsidR="006467CD" w:rsidRPr="007845CA" w:rsidRDefault="006467CD" w:rsidP="009E50DF">
      <w:pPr>
        <w:spacing w:before="0" w:after="0"/>
        <w:rPr>
          <w:b/>
        </w:rPr>
      </w:pPr>
    </w:p>
    <w:p w:rsidR="009E50DF" w:rsidRDefault="009E50DF" w:rsidP="00CF1EAB">
      <w:pPr>
        <w:spacing w:before="0" w:after="0"/>
        <w:jc w:val="both"/>
      </w:pPr>
      <w:r>
        <w:t>En cuanto a su estado de actividad financiera, el Hospital refleja un aumento en sus Ingresos del 3.40%, un incremento en los Gastos del 34.31% y una disminución en los Costos del 9.63%.</w:t>
      </w:r>
    </w:p>
    <w:p w:rsidR="009E50DF" w:rsidRDefault="009E50DF" w:rsidP="00CF1EAB">
      <w:pPr>
        <w:spacing w:before="0" w:after="0"/>
        <w:jc w:val="both"/>
      </w:pPr>
    </w:p>
    <w:p w:rsidR="009E50DF" w:rsidRDefault="009E50DF" w:rsidP="00CF1EAB">
      <w:pPr>
        <w:spacing w:before="0" w:after="0"/>
        <w:jc w:val="both"/>
      </w:pPr>
      <w:r>
        <w:t>De los Ingresos, la Venta de Servicios pasaron de un saldo en el 2014 por valor de $90.138.728, a un saldo en el 2015 de $96.668.944, para un incremento del 7.24%.</w:t>
      </w:r>
    </w:p>
    <w:p w:rsidR="009E50DF" w:rsidRDefault="009E50DF" w:rsidP="00CF1EAB">
      <w:pPr>
        <w:spacing w:before="0" w:after="0"/>
        <w:jc w:val="both"/>
      </w:pPr>
    </w:p>
    <w:p w:rsidR="009E50DF" w:rsidRDefault="009E50DF" w:rsidP="00CF1EAB">
      <w:pPr>
        <w:spacing w:before="0" w:after="0"/>
        <w:jc w:val="both"/>
      </w:pPr>
      <w:r>
        <w:t>Los Ingresos por Transferencias, contrario a los anteriores se redujeron en la suma de $1.407.206 miles de pesos, que comparado con lo recaudado en el 2014, presenta una disminución del 5.71%; igual suerte corrieron los Otros Ingresos que se redujeron el 6.75%</w:t>
      </w:r>
    </w:p>
    <w:p w:rsidR="009E50DF" w:rsidRDefault="009E50DF" w:rsidP="00CF1EAB">
      <w:pPr>
        <w:spacing w:before="0" w:after="0"/>
        <w:jc w:val="both"/>
      </w:pPr>
    </w:p>
    <w:p w:rsidR="009E50DF" w:rsidRDefault="009E50DF" w:rsidP="00CF1EAB">
      <w:pPr>
        <w:spacing w:before="0" w:after="0"/>
        <w:jc w:val="both"/>
      </w:pPr>
      <w:r>
        <w:t>Por otra parte, los Gastos</w:t>
      </w:r>
      <w:r w:rsidR="00CF1EAB">
        <w:t xml:space="preserve"> para la vigencia 2015 aumentaron su valor en la suma de $10.655.814, respecto de los registrado en el vigencia 2014, para un porcentaje del 34.31%</w:t>
      </w:r>
    </w:p>
    <w:p w:rsidR="00CF1EAB" w:rsidRDefault="00CF1EAB" w:rsidP="00CF1EAB">
      <w:pPr>
        <w:spacing w:before="0" w:after="0"/>
        <w:jc w:val="both"/>
      </w:pPr>
    </w:p>
    <w:p w:rsidR="00CF1EAB" w:rsidRDefault="00CF1EAB" w:rsidP="00CF1EAB">
      <w:pPr>
        <w:spacing w:before="0" w:after="0"/>
        <w:jc w:val="both"/>
      </w:pPr>
      <w:r>
        <w:t>Dentro de los Gastos del periodo, los Generales fueron los que más aumentaron con el 75.89%, con una variación absoluta de $2.292.812 miles de pesos; los Otros Gastos por su parte, también reflejan un aumento del 49.08%, al pasar de un saldo en el 2014 por la suma de $3.935.185 miles de pesos, a un saldo en el 2015 de $5.866.574 miles de pesos.</w:t>
      </w:r>
    </w:p>
    <w:p w:rsidR="00CF1EAB" w:rsidRDefault="00CF1EAB" w:rsidP="00CF1EAB">
      <w:pPr>
        <w:spacing w:before="0" w:after="0"/>
        <w:jc w:val="both"/>
      </w:pPr>
    </w:p>
    <w:p w:rsidR="00CF1EAB" w:rsidRDefault="00CF1EAB" w:rsidP="00CF1EAB">
      <w:pPr>
        <w:spacing w:before="0" w:after="0"/>
        <w:jc w:val="both"/>
      </w:pPr>
      <w:r>
        <w:t>Finalmente, la cuenta de Costos por Prestación de Servicios redujeron su valor para la vigencia 2015 en el 9.63%, una cifra de $8.156.146 miles de pesos.</w:t>
      </w:r>
    </w:p>
    <w:p w:rsidR="009E50DF" w:rsidRDefault="009E50DF" w:rsidP="00CF1EAB">
      <w:pPr>
        <w:spacing w:before="0" w:after="0"/>
        <w:jc w:val="both"/>
      </w:pPr>
    </w:p>
    <w:p w:rsidR="003E2C41" w:rsidRDefault="00CF1EAB" w:rsidP="00CF1EAB">
      <w:pPr>
        <w:spacing w:before="0" w:after="0"/>
        <w:jc w:val="both"/>
      </w:pPr>
      <w:r>
        <w:rPr>
          <w:noProof/>
        </w:rPr>
        <w:drawing>
          <wp:inline distT="0" distB="0" distL="0" distR="0" wp14:anchorId="4FCC9D7F">
            <wp:extent cx="5495925" cy="204787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804" cy="20508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31C1" w:rsidRDefault="00E231C1" w:rsidP="00E231C1">
      <w:pPr>
        <w:pStyle w:val="Prrafodelista"/>
        <w:rPr>
          <w:rFonts w:ascii="Tahoma" w:hAnsi="Tahoma" w:cs="Tahoma"/>
        </w:rPr>
      </w:pPr>
    </w:p>
    <w:p w:rsidR="00BC5D7D" w:rsidRPr="00B45090" w:rsidRDefault="00814D3D" w:rsidP="00280151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APLICACIÓN DE INDICADORES FINANCIEROS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Pr="00814D3D" w:rsidRDefault="00814D3D" w:rsidP="00280151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280151">
        <w:rPr>
          <w:rFonts w:ascii="Tahoma" w:hAnsi="Tahoma" w:cs="Tahoma"/>
        </w:rPr>
        <w:t xml:space="preserve">    </w:t>
      </w:r>
      <w:r w:rsidR="00CF1EAB">
        <w:rPr>
          <w:rFonts w:ascii="Tahoma" w:hAnsi="Tahoma" w:cs="Tahoma"/>
        </w:rPr>
        <w:t>4.967.453</w:t>
      </w:r>
    </w:p>
    <w:p w:rsidR="00E82DF4" w:rsidRDefault="00E82DF4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Inversiones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101.962</w:t>
      </w:r>
    </w:p>
    <w:p w:rsidR="001666F5" w:rsidRPr="00814D3D" w:rsidRDefault="001666F5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 </w:t>
      </w:r>
      <w:r w:rsidR="00E82DF4">
        <w:rPr>
          <w:rFonts w:ascii="Tahoma" w:hAnsi="Tahoma" w:cs="Tahoma"/>
        </w:rPr>
        <w:t xml:space="preserve">   89.623.686</w:t>
      </w:r>
    </w:p>
    <w:p w:rsidR="00BC5D7D" w:rsidRDefault="001666F5" w:rsidP="00280151">
      <w:pPr>
        <w:spacing w:before="0" w:after="0"/>
      </w:pPr>
      <w:r>
        <w:t>Inventarios</w:t>
      </w:r>
      <w:r>
        <w:tab/>
      </w:r>
      <w:r>
        <w:tab/>
        <w:t xml:space="preserve">   </w:t>
      </w:r>
      <w:r w:rsidR="00CD726A">
        <w:t xml:space="preserve">  </w:t>
      </w:r>
      <w:r w:rsidR="00E82DF4">
        <w:t xml:space="preserve">      857.567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 w:rsidR="00E82DF4">
        <w:t xml:space="preserve">    </w:t>
      </w:r>
      <w:r>
        <w:t>----------------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>
        <w:t>$</w:t>
      </w:r>
      <w:r w:rsidR="00E82DF4">
        <w:t xml:space="preserve">  95.550.668</w:t>
      </w:r>
    </w:p>
    <w:p w:rsidR="001666F5" w:rsidRDefault="001666F5" w:rsidP="00280151">
      <w:pPr>
        <w:spacing w:before="0" w:after="0"/>
      </w:pP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Pasivo Corriente: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Cuentas por Pagar</w:t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  <w:t xml:space="preserve">  </w:t>
      </w:r>
      <w:r w:rsidR="00CD726A" w:rsidRPr="00B45090">
        <w:rPr>
          <w:rFonts w:ascii="Tahoma" w:hAnsi="Tahoma" w:cs="Tahoma"/>
        </w:rPr>
        <w:t>$</w:t>
      </w:r>
      <w:r w:rsidR="00E82DF4">
        <w:rPr>
          <w:rFonts w:ascii="Tahoma" w:hAnsi="Tahoma" w:cs="Tahoma"/>
        </w:rPr>
        <w:t>63.257.424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Obligaciones Laborales</w:t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  <w:t xml:space="preserve">  </w:t>
      </w:r>
      <w:r w:rsidR="008530C9" w:rsidRPr="00B45090">
        <w:rPr>
          <w:rFonts w:ascii="Tahoma" w:hAnsi="Tahoma" w:cs="Tahoma"/>
        </w:rPr>
        <w:t xml:space="preserve">  </w:t>
      </w:r>
      <w:r w:rsidR="00E82DF4">
        <w:rPr>
          <w:rFonts w:ascii="Tahoma" w:hAnsi="Tahoma" w:cs="Tahoma"/>
        </w:rPr>
        <w:t xml:space="preserve">  8.392.316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="00E82DF4">
        <w:rPr>
          <w:rFonts w:ascii="Tahoma" w:hAnsi="Tahoma" w:cs="Tahoma"/>
        </w:rPr>
        <w:t xml:space="preserve"> </w:t>
      </w:r>
      <w:r w:rsidR="00280151">
        <w:rPr>
          <w:rFonts w:ascii="Tahoma" w:hAnsi="Tahoma" w:cs="Tahoma"/>
        </w:rPr>
        <w:t xml:space="preserve">  </w:t>
      </w:r>
      <w:r w:rsidRPr="00B45090">
        <w:rPr>
          <w:rFonts w:ascii="Tahoma" w:hAnsi="Tahoma" w:cs="Tahoma"/>
        </w:rPr>
        <w:t>----------------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="00CD726A" w:rsidRPr="00B45090">
        <w:rPr>
          <w:rFonts w:ascii="Tahoma" w:hAnsi="Tahoma" w:cs="Tahoma"/>
        </w:rPr>
        <w:t xml:space="preserve">  </w:t>
      </w:r>
      <w:r w:rsidRPr="00B45090">
        <w:rPr>
          <w:rFonts w:ascii="Tahoma" w:hAnsi="Tahoma" w:cs="Tahoma"/>
        </w:rPr>
        <w:t>$</w:t>
      </w:r>
      <w:r w:rsidR="00E82DF4">
        <w:rPr>
          <w:rFonts w:ascii="Tahoma" w:hAnsi="Tahoma" w:cs="Tahoma"/>
        </w:rPr>
        <w:t xml:space="preserve"> 71.649.740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</w:p>
    <w:p w:rsidR="00E82DF4" w:rsidRDefault="001666F5" w:rsidP="00E82DF4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Razón Corriente  $</w:t>
      </w:r>
      <w:r w:rsidR="00E82DF4">
        <w:rPr>
          <w:rFonts w:ascii="Tahoma" w:hAnsi="Tahoma" w:cs="Tahoma"/>
        </w:rPr>
        <w:t>95.550.668</w:t>
      </w:r>
      <w:r w:rsidRPr="00B45090">
        <w:rPr>
          <w:rFonts w:ascii="Tahoma" w:hAnsi="Tahoma" w:cs="Tahoma"/>
        </w:rPr>
        <w:t xml:space="preserve"> / $</w:t>
      </w:r>
      <w:r w:rsidR="00E82DF4">
        <w:rPr>
          <w:rFonts w:ascii="Tahoma" w:hAnsi="Tahoma" w:cs="Tahoma"/>
        </w:rPr>
        <w:t>71.649.740</w:t>
      </w:r>
      <w:r w:rsidRPr="00B45090">
        <w:rPr>
          <w:rFonts w:ascii="Tahoma" w:hAnsi="Tahoma" w:cs="Tahoma"/>
        </w:rPr>
        <w:t xml:space="preserve"> = </w:t>
      </w:r>
      <w:r w:rsidR="00E82DF4">
        <w:rPr>
          <w:rFonts w:ascii="Tahoma" w:hAnsi="Tahoma" w:cs="Tahoma"/>
        </w:rPr>
        <w:t>1</w:t>
      </w:r>
      <w:r w:rsidR="00280151">
        <w:rPr>
          <w:rFonts w:ascii="Tahoma" w:hAnsi="Tahoma" w:cs="Tahoma"/>
        </w:rPr>
        <w:t>.</w:t>
      </w:r>
      <w:r w:rsidR="00E82DF4">
        <w:rPr>
          <w:rFonts w:ascii="Tahoma" w:hAnsi="Tahoma" w:cs="Tahoma"/>
        </w:rPr>
        <w:t>33</w:t>
      </w:r>
    </w:p>
    <w:p w:rsidR="00E82DF4" w:rsidRDefault="00E82DF4" w:rsidP="00E82DF4">
      <w:pPr>
        <w:spacing w:before="0" w:after="0"/>
        <w:rPr>
          <w:rFonts w:ascii="Tahoma" w:hAnsi="Tahoma" w:cs="Tahoma"/>
        </w:rPr>
      </w:pPr>
    </w:p>
    <w:p w:rsidR="00A7456E" w:rsidRPr="00B45090" w:rsidRDefault="00A7456E" w:rsidP="00E82DF4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muestra que por cada peso que </w:t>
      </w:r>
      <w:r w:rsidR="00CD726A" w:rsidRPr="00B45090">
        <w:rPr>
          <w:rFonts w:ascii="Tahoma" w:hAnsi="Tahoma" w:cs="Tahoma"/>
        </w:rPr>
        <w:t>e</w:t>
      </w:r>
      <w:r w:rsidRPr="00B45090">
        <w:rPr>
          <w:rFonts w:ascii="Tahoma" w:hAnsi="Tahoma" w:cs="Tahoma"/>
        </w:rPr>
        <w:t>l</w:t>
      </w:r>
      <w:r w:rsidR="00CD726A" w:rsidRPr="00B45090">
        <w:rPr>
          <w:rFonts w:ascii="Tahoma" w:hAnsi="Tahoma" w:cs="Tahoma"/>
        </w:rPr>
        <w:t xml:space="preserve"> Hospital </w:t>
      </w:r>
      <w:r w:rsidR="00280151">
        <w:rPr>
          <w:rFonts w:ascii="Tahoma" w:hAnsi="Tahoma" w:cs="Tahoma"/>
        </w:rPr>
        <w:t xml:space="preserve">Dptal </w:t>
      </w:r>
      <w:r w:rsidR="00E82DF4">
        <w:rPr>
          <w:rFonts w:ascii="Tahoma" w:hAnsi="Tahoma" w:cs="Tahoma"/>
        </w:rPr>
        <w:t>Federico Lleras Acosta</w:t>
      </w:r>
      <w:r w:rsidR="00280151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 xml:space="preserve">debe a corto plazo, cuenta con </w:t>
      </w:r>
      <w:r w:rsidR="00E82DF4">
        <w:rPr>
          <w:rFonts w:ascii="Tahoma" w:hAnsi="Tahoma" w:cs="Tahoma"/>
        </w:rPr>
        <w:t>1.33</w:t>
      </w:r>
      <w:r w:rsidRPr="00B45090">
        <w:rPr>
          <w:rFonts w:ascii="Tahoma" w:hAnsi="Tahoma" w:cs="Tahoma"/>
        </w:rPr>
        <w:t xml:space="preserve"> pesos en activos corriente para cubrirlos, lo que significa que el mencionado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 refleja liquidez suficiente para cubrir sus pasivos </w:t>
      </w:r>
      <w:r w:rsidR="00CD726A" w:rsidRPr="002B7E6A">
        <w:rPr>
          <w:rFonts w:ascii="Tahoma" w:hAnsi="Tahoma" w:cs="Tahoma"/>
        </w:rPr>
        <w:t>a</w:t>
      </w:r>
      <w:r w:rsidRPr="002B7E6A">
        <w:rPr>
          <w:rFonts w:ascii="Tahoma" w:hAnsi="Tahoma" w:cs="Tahoma"/>
        </w:rPr>
        <w:t xml:space="preserve"> corto plazo</w:t>
      </w:r>
      <w:r w:rsidRPr="00B45090">
        <w:rPr>
          <w:rFonts w:ascii="Tahoma" w:hAnsi="Tahoma" w:cs="Tahoma"/>
        </w:rPr>
        <w:t>.</w:t>
      </w:r>
    </w:p>
    <w:p w:rsidR="00E82DF4" w:rsidRPr="00B45090" w:rsidRDefault="00E82DF4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CAPITAL NETO DE TRABAJO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Activo Corriente – Pasivo Corriente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2B7E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>
        <w:rPr>
          <w:rFonts w:ascii="Tahoma" w:hAnsi="Tahoma" w:cs="Tahoma"/>
        </w:rPr>
        <w:t>95.550.668</w:t>
      </w:r>
      <w:r w:rsidRPr="00B4509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-</w:t>
      </w:r>
      <w:r w:rsidRPr="00B45090">
        <w:rPr>
          <w:rFonts w:ascii="Tahoma" w:hAnsi="Tahoma" w:cs="Tahoma"/>
        </w:rPr>
        <w:t xml:space="preserve"> $</w:t>
      </w:r>
      <w:r>
        <w:rPr>
          <w:rFonts w:ascii="Tahoma" w:hAnsi="Tahoma" w:cs="Tahoma"/>
        </w:rPr>
        <w:t>71.649.740</w:t>
      </w:r>
      <w:r w:rsidR="00CD726A" w:rsidRPr="00B45090">
        <w:rPr>
          <w:rFonts w:ascii="Tahoma" w:hAnsi="Tahoma" w:cs="Tahoma"/>
        </w:rPr>
        <w:t xml:space="preserve"> </w:t>
      </w:r>
      <w:r w:rsidR="00A7456E" w:rsidRPr="00B45090">
        <w:rPr>
          <w:rFonts w:ascii="Tahoma" w:hAnsi="Tahoma" w:cs="Tahoma"/>
        </w:rPr>
        <w:t>= $</w:t>
      </w:r>
      <w:r>
        <w:rPr>
          <w:rFonts w:ascii="Tahoma" w:hAnsi="Tahoma" w:cs="Tahoma"/>
        </w:rPr>
        <w:t>23.900.928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 xml:space="preserve">El anterior resultado nos indica que el ente </w:t>
      </w:r>
      <w:r w:rsidR="00CD726A" w:rsidRPr="00B45090">
        <w:rPr>
          <w:rFonts w:ascii="Tahoma" w:hAnsi="Tahoma" w:cs="Tahoma"/>
        </w:rPr>
        <w:t>hospitalario</w:t>
      </w:r>
      <w:r w:rsidRPr="00B45090">
        <w:rPr>
          <w:rFonts w:ascii="Tahoma" w:hAnsi="Tahoma" w:cs="Tahoma"/>
        </w:rPr>
        <w:t xml:space="preserve"> cuenta con suficientes recursos propios para operar.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NIVEL DE ENDEUDAMIENTO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Este indicador nos presenta el porcentaje de participación de los acreedores dentro de los activos del ente territorial.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Pasivo Total con Terceros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CD72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2B7E6A">
        <w:rPr>
          <w:rFonts w:ascii="Tahoma" w:hAnsi="Tahoma" w:cs="Tahoma"/>
        </w:rPr>
        <w:t>72.123.692</w:t>
      </w:r>
      <w:r w:rsidR="003E25A9" w:rsidRPr="00B45090">
        <w:rPr>
          <w:rFonts w:ascii="Tahoma" w:hAnsi="Tahoma" w:cs="Tahoma"/>
        </w:rPr>
        <w:t xml:space="preserve"> / </w:t>
      </w:r>
      <w:r w:rsidRPr="00B45090">
        <w:rPr>
          <w:rFonts w:ascii="Tahoma" w:hAnsi="Tahoma" w:cs="Tahoma"/>
        </w:rPr>
        <w:t>$</w:t>
      </w:r>
      <w:r w:rsidR="002B7E6A">
        <w:rPr>
          <w:rFonts w:ascii="Tahoma" w:hAnsi="Tahoma" w:cs="Tahoma"/>
        </w:rPr>
        <w:t>212.196.505</w:t>
      </w:r>
      <w:r w:rsidR="002C1BB6" w:rsidRPr="00B45090">
        <w:rPr>
          <w:rFonts w:ascii="Tahoma" w:hAnsi="Tahoma" w:cs="Tahoma"/>
        </w:rPr>
        <w:t xml:space="preserve"> </w:t>
      </w:r>
      <w:r w:rsidR="003E25A9" w:rsidRPr="00B45090">
        <w:rPr>
          <w:rFonts w:ascii="Tahoma" w:hAnsi="Tahoma" w:cs="Tahoma"/>
        </w:rPr>
        <w:t xml:space="preserve">= </w:t>
      </w:r>
      <w:r w:rsidR="002B7E6A">
        <w:rPr>
          <w:rFonts w:ascii="Tahoma" w:hAnsi="Tahoma" w:cs="Tahoma"/>
        </w:rPr>
        <w:t>33.98</w:t>
      </w:r>
      <w:r w:rsidR="003E25A9" w:rsidRPr="00B45090">
        <w:rPr>
          <w:rFonts w:ascii="Tahoma" w:hAnsi="Tahoma" w:cs="Tahoma"/>
        </w:rPr>
        <w:t>%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indica que del total de activos que posee el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, el </w:t>
      </w:r>
      <w:r w:rsidR="002B7E6A">
        <w:rPr>
          <w:rFonts w:ascii="Tahoma" w:hAnsi="Tahoma" w:cs="Tahoma"/>
        </w:rPr>
        <w:t>33.98</w:t>
      </w:r>
      <w:r w:rsidRPr="00B45090">
        <w:rPr>
          <w:rFonts w:ascii="Tahoma" w:hAnsi="Tahoma" w:cs="Tahoma"/>
        </w:rPr>
        <w:t>% está siendo financiado por los acreedores.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RAZÓN DEL PATRIMONIO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Nos muestra hasta </w:t>
      </w:r>
      <w:r w:rsidR="009F3F48" w:rsidRPr="00B45090">
        <w:rPr>
          <w:rFonts w:ascii="Tahoma" w:hAnsi="Tahoma" w:cs="Tahoma"/>
        </w:rPr>
        <w:t>qué</w:t>
      </w:r>
      <w:r w:rsidRPr="00B45090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Patrimonio Total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764ABD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2B7E6A">
        <w:rPr>
          <w:rFonts w:ascii="Tahoma" w:hAnsi="Tahoma" w:cs="Tahoma"/>
        </w:rPr>
        <w:t>125.417.206</w:t>
      </w:r>
      <w:r w:rsidR="003E25A9" w:rsidRPr="00B45090">
        <w:rPr>
          <w:rFonts w:ascii="Tahoma" w:hAnsi="Tahoma" w:cs="Tahoma"/>
        </w:rPr>
        <w:t xml:space="preserve"> / </w:t>
      </w:r>
      <w:r w:rsidR="00CD726A" w:rsidRPr="00B45090">
        <w:rPr>
          <w:rFonts w:ascii="Tahoma" w:hAnsi="Tahoma" w:cs="Tahoma"/>
        </w:rPr>
        <w:t>$</w:t>
      </w:r>
      <w:r w:rsidR="00DB5DE5">
        <w:rPr>
          <w:rFonts w:ascii="Tahoma" w:hAnsi="Tahoma" w:cs="Tahoma"/>
        </w:rPr>
        <w:t>2</w:t>
      </w:r>
      <w:r w:rsidR="002B7E6A">
        <w:rPr>
          <w:rFonts w:ascii="Tahoma" w:hAnsi="Tahoma" w:cs="Tahoma"/>
        </w:rPr>
        <w:t>12</w:t>
      </w:r>
      <w:r w:rsidR="00DB5DE5">
        <w:rPr>
          <w:rFonts w:ascii="Tahoma" w:hAnsi="Tahoma" w:cs="Tahoma"/>
        </w:rPr>
        <w:t>.</w:t>
      </w:r>
      <w:r w:rsidR="002B7E6A">
        <w:rPr>
          <w:rFonts w:ascii="Tahoma" w:hAnsi="Tahoma" w:cs="Tahoma"/>
        </w:rPr>
        <w:t>196</w:t>
      </w:r>
      <w:r w:rsidR="00DB5DE5">
        <w:rPr>
          <w:rFonts w:ascii="Tahoma" w:hAnsi="Tahoma" w:cs="Tahoma"/>
        </w:rPr>
        <w:t>.</w:t>
      </w:r>
      <w:r w:rsidR="002B7E6A">
        <w:rPr>
          <w:rFonts w:ascii="Tahoma" w:hAnsi="Tahoma" w:cs="Tahoma"/>
        </w:rPr>
        <w:t>505</w:t>
      </w:r>
      <w:r w:rsidR="00CD726A" w:rsidRPr="00B45090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 xml:space="preserve">= </w:t>
      </w:r>
      <w:r w:rsidR="002B7E6A">
        <w:rPr>
          <w:rFonts w:ascii="Tahoma" w:hAnsi="Tahoma" w:cs="Tahoma"/>
        </w:rPr>
        <w:t>59.10</w:t>
      </w:r>
      <w:r w:rsidRPr="00B45090">
        <w:rPr>
          <w:rFonts w:ascii="Tahoma" w:hAnsi="Tahoma" w:cs="Tahoma"/>
        </w:rPr>
        <w:t>%</w:t>
      </w: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porcentaje establecido anteriormente nos indica que el </w:t>
      </w:r>
      <w:r w:rsidR="002B7E6A">
        <w:rPr>
          <w:rFonts w:ascii="Tahoma" w:hAnsi="Tahoma" w:cs="Tahoma"/>
        </w:rPr>
        <w:t>59.10</w:t>
      </w:r>
      <w:r w:rsidRPr="00B45090">
        <w:rPr>
          <w:rFonts w:ascii="Tahoma" w:hAnsi="Tahoma" w:cs="Tahoma"/>
        </w:rPr>
        <w:t>% de los activos, están siendo financiados con capital propio.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CONCEPTUALIZACION SOBRE LOS ESTADOS FINANCIEROS 201</w:t>
      </w:r>
      <w:r w:rsidR="00DB5DE5">
        <w:rPr>
          <w:rFonts w:ascii="Tahoma" w:hAnsi="Tahoma" w:cs="Tahoma"/>
          <w:b/>
        </w:rPr>
        <w:t>5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Hospital </w:t>
      </w:r>
      <w:r w:rsidR="00DB5DE5">
        <w:rPr>
          <w:rFonts w:ascii="Tahoma" w:hAnsi="Tahoma" w:cs="Tahoma"/>
        </w:rPr>
        <w:t xml:space="preserve">Dptal </w:t>
      </w:r>
      <w:r w:rsidR="002B7E6A">
        <w:rPr>
          <w:rFonts w:ascii="Tahoma" w:hAnsi="Tahoma" w:cs="Tahoma"/>
        </w:rPr>
        <w:t>Federico Lleras Acosta</w:t>
      </w:r>
      <w:r w:rsidRPr="00B45090">
        <w:rPr>
          <w:rFonts w:ascii="Tahoma" w:hAnsi="Tahoma" w:cs="Tahoma"/>
        </w:rPr>
        <w:t>,</w:t>
      </w:r>
      <w:r w:rsidR="006756E8" w:rsidRPr="00B45090">
        <w:rPr>
          <w:rFonts w:ascii="Tahoma" w:hAnsi="Tahoma" w:cs="Tahoma"/>
        </w:rPr>
        <w:t xml:space="preserve"> de acuerdo con su Balance General terminado en la fecha, se observa que sus activos totales crecieron un </w:t>
      </w:r>
      <w:r w:rsidR="002B7E6A">
        <w:rPr>
          <w:rFonts w:ascii="Tahoma" w:hAnsi="Tahoma" w:cs="Tahoma"/>
        </w:rPr>
        <w:t>10</w:t>
      </w:r>
      <w:r w:rsidR="00DB5DE5">
        <w:rPr>
          <w:rFonts w:ascii="Tahoma" w:hAnsi="Tahoma" w:cs="Tahoma"/>
        </w:rPr>
        <w:t>.</w:t>
      </w:r>
      <w:r w:rsidR="002B7E6A">
        <w:rPr>
          <w:rFonts w:ascii="Tahoma" w:hAnsi="Tahoma" w:cs="Tahoma"/>
        </w:rPr>
        <w:t>99</w:t>
      </w:r>
      <w:r w:rsidR="006756E8" w:rsidRPr="00B45090">
        <w:rPr>
          <w:rFonts w:ascii="Tahoma" w:hAnsi="Tahoma" w:cs="Tahoma"/>
        </w:rPr>
        <w:t>% en la suma de $</w:t>
      </w:r>
      <w:r w:rsidR="002B7E6A">
        <w:rPr>
          <w:rFonts w:ascii="Tahoma" w:hAnsi="Tahoma" w:cs="Tahoma"/>
        </w:rPr>
        <w:t>21.013.086</w:t>
      </w:r>
      <w:r w:rsidR="006756E8" w:rsidRPr="00B45090">
        <w:rPr>
          <w:rFonts w:ascii="Tahoma" w:hAnsi="Tahoma" w:cs="Tahoma"/>
        </w:rPr>
        <w:t xml:space="preserve"> (mies de $), con relación al periodo 201</w:t>
      </w:r>
      <w:r w:rsidR="00DB5DE5">
        <w:rPr>
          <w:rFonts w:ascii="Tahoma" w:hAnsi="Tahoma" w:cs="Tahoma"/>
        </w:rPr>
        <w:t>4</w:t>
      </w:r>
      <w:r w:rsidR="006756E8" w:rsidRPr="00B45090">
        <w:rPr>
          <w:rFonts w:ascii="Tahoma" w:hAnsi="Tahoma" w:cs="Tahoma"/>
        </w:rPr>
        <w:t>, reflejados en las cuentas</w:t>
      </w:r>
      <w:r w:rsidR="00DB5DE5">
        <w:rPr>
          <w:rFonts w:ascii="Tahoma" w:hAnsi="Tahoma" w:cs="Tahoma"/>
        </w:rPr>
        <w:t xml:space="preserve"> Deudores</w:t>
      </w:r>
      <w:r w:rsidR="00EA55D0">
        <w:rPr>
          <w:rFonts w:ascii="Tahoma" w:hAnsi="Tahoma" w:cs="Tahoma"/>
        </w:rPr>
        <w:t>, Propiedad Planta y Equipo,</w:t>
      </w:r>
      <w:r w:rsidRPr="00B45090">
        <w:rPr>
          <w:rFonts w:ascii="Tahoma" w:hAnsi="Tahoma" w:cs="Tahoma"/>
        </w:rPr>
        <w:t xml:space="preserve"> y Otros Activos</w:t>
      </w:r>
      <w:r w:rsidR="006756E8" w:rsidRPr="00B45090">
        <w:rPr>
          <w:rFonts w:ascii="Tahoma" w:hAnsi="Tahoma" w:cs="Tahoma"/>
        </w:rPr>
        <w:t>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Su patrimonio </w:t>
      </w:r>
      <w:r w:rsidR="00E029B6">
        <w:rPr>
          <w:rFonts w:ascii="Tahoma" w:hAnsi="Tahoma" w:cs="Tahoma"/>
        </w:rPr>
        <w:t xml:space="preserve">creció en el </w:t>
      </w:r>
      <w:r w:rsidR="00EA55D0">
        <w:rPr>
          <w:rFonts w:ascii="Tahoma" w:hAnsi="Tahoma" w:cs="Tahoma"/>
        </w:rPr>
        <w:t>20.20</w:t>
      </w:r>
      <w:r w:rsidR="00E029B6">
        <w:rPr>
          <w:rFonts w:ascii="Tahoma" w:hAnsi="Tahoma" w:cs="Tahoma"/>
        </w:rPr>
        <w:t xml:space="preserve">% </w:t>
      </w:r>
      <w:r w:rsidR="00F60B4E" w:rsidRPr="00B45090">
        <w:rPr>
          <w:rFonts w:ascii="Tahoma" w:hAnsi="Tahoma" w:cs="Tahoma"/>
        </w:rPr>
        <w:t>el valor de $</w:t>
      </w:r>
      <w:r w:rsidR="00E029B6">
        <w:rPr>
          <w:rFonts w:ascii="Tahoma" w:hAnsi="Tahoma" w:cs="Tahoma"/>
        </w:rPr>
        <w:t>2</w:t>
      </w:r>
      <w:r w:rsidR="00EA55D0">
        <w:rPr>
          <w:rFonts w:ascii="Tahoma" w:hAnsi="Tahoma" w:cs="Tahoma"/>
        </w:rPr>
        <w:t>1</w:t>
      </w:r>
      <w:r w:rsidR="00E029B6">
        <w:rPr>
          <w:rFonts w:ascii="Tahoma" w:hAnsi="Tahoma" w:cs="Tahoma"/>
        </w:rPr>
        <w:t>.0</w:t>
      </w:r>
      <w:r w:rsidR="00EA55D0">
        <w:rPr>
          <w:rFonts w:ascii="Tahoma" w:hAnsi="Tahoma" w:cs="Tahoma"/>
        </w:rPr>
        <w:t>75</w:t>
      </w:r>
      <w:r w:rsidR="00E029B6">
        <w:rPr>
          <w:rFonts w:ascii="Tahoma" w:hAnsi="Tahoma" w:cs="Tahoma"/>
        </w:rPr>
        <w:t>.</w:t>
      </w:r>
      <w:r w:rsidR="00EA55D0">
        <w:rPr>
          <w:rFonts w:ascii="Tahoma" w:hAnsi="Tahoma" w:cs="Tahoma"/>
        </w:rPr>
        <w:t>17</w:t>
      </w:r>
      <w:r w:rsidR="00F60B4E" w:rsidRPr="00B45090">
        <w:rPr>
          <w:rFonts w:ascii="Tahoma" w:hAnsi="Tahoma" w:cs="Tahoma"/>
        </w:rPr>
        <w:t xml:space="preserve"> (miles de $), lo anterior debido al </w:t>
      </w:r>
      <w:r w:rsidR="00E029B6">
        <w:rPr>
          <w:rFonts w:ascii="Tahoma" w:hAnsi="Tahoma" w:cs="Tahoma"/>
        </w:rPr>
        <w:t>incremento</w:t>
      </w:r>
      <w:r w:rsidR="00F60B4E" w:rsidRPr="00B45090">
        <w:rPr>
          <w:rFonts w:ascii="Tahoma" w:hAnsi="Tahoma" w:cs="Tahoma"/>
        </w:rPr>
        <w:t xml:space="preserve"> en la</w:t>
      </w:r>
      <w:r w:rsidR="00EA55D0">
        <w:rPr>
          <w:rFonts w:ascii="Tahoma" w:hAnsi="Tahoma" w:cs="Tahoma"/>
        </w:rPr>
        <w:t>s</w:t>
      </w:r>
      <w:r w:rsidR="00F60B4E" w:rsidRPr="00B45090">
        <w:rPr>
          <w:rFonts w:ascii="Tahoma" w:hAnsi="Tahoma" w:cs="Tahoma"/>
        </w:rPr>
        <w:t xml:space="preserve"> cuenta</w:t>
      </w:r>
      <w:r w:rsidR="00EA55D0">
        <w:rPr>
          <w:rFonts w:ascii="Tahoma" w:hAnsi="Tahoma" w:cs="Tahoma"/>
        </w:rPr>
        <w:t>s</w:t>
      </w:r>
      <w:r w:rsidR="00F60B4E" w:rsidRPr="00B45090">
        <w:rPr>
          <w:rFonts w:ascii="Tahoma" w:hAnsi="Tahoma" w:cs="Tahoma"/>
        </w:rPr>
        <w:t xml:space="preserve"> </w:t>
      </w:r>
      <w:r w:rsidR="00EA55D0">
        <w:rPr>
          <w:rFonts w:ascii="Tahoma" w:hAnsi="Tahoma" w:cs="Tahoma"/>
        </w:rPr>
        <w:t xml:space="preserve">Capital Fiscal, </w:t>
      </w:r>
      <w:r w:rsidR="00F60B4E" w:rsidRPr="00B45090">
        <w:rPr>
          <w:rFonts w:ascii="Tahoma" w:hAnsi="Tahoma" w:cs="Tahoma"/>
        </w:rPr>
        <w:t>Resultados del Ejercicio</w:t>
      </w:r>
      <w:r w:rsidR="00EA55D0">
        <w:rPr>
          <w:rFonts w:ascii="Tahoma" w:hAnsi="Tahoma" w:cs="Tahoma"/>
        </w:rPr>
        <w:t xml:space="preserve">  y Superávit por Valorización.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 xml:space="preserve">Su estructura financiera al cierre del periodo contable 2014, estaba representada en el </w:t>
      </w:r>
      <w:r w:rsidR="00EA55D0">
        <w:rPr>
          <w:rFonts w:ascii="Tahoma" w:hAnsi="Tahoma" w:cs="Tahoma"/>
        </w:rPr>
        <w:t>40.90</w:t>
      </w:r>
      <w:r w:rsidRPr="00B45090">
        <w:rPr>
          <w:rFonts w:ascii="Tahoma" w:hAnsi="Tahoma" w:cs="Tahoma"/>
        </w:rPr>
        <w:t xml:space="preserve">% los pasivos y el </w:t>
      </w:r>
      <w:r w:rsidR="00EA55D0">
        <w:rPr>
          <w:rFonts w:ascii="Tahoma" w:hAnsi="Tahoma" w:cs="Tahoma"/>
        </w:rPr>
        <w:t>59.10</w:t>
      </w:r>
      <w:r w:rsidRPr="00B45090">
        <w:rPr>
          <w:rFonts w:ascii="Tahoma" w:hAnsi="Tahoma" w:cs="Tahoma"/>
        </w:rPr>
        <w:t>% el patrimonio.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</w:t>
      </w:r>
      <w:r w:rsidR="00D226DC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 presenta un nivel de endeudamiento bajo respecto al total de sus activos, alcanzando un margen del </w:t>
      </w:r>
      <w:r w:rsidR="00EA55D0">
        <w:rPr>
          <w:rFonts w:ascii="Tahoma" w:hAnsi="Tahoma" w:cs="Tahoma"/>
        </w:rPr>
        <w:t>33.98</w:t>
      </w:r>
      <w:r w:rsidRPr="00B45090">
        <w:rPr>
          <w:rFonts w:ascii="Tahoma" w:hAnsi="Tahoma" w:cs="Tahoma"/>
        </w:rPr>
        <w:t>%.</w:t>
      </w: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De acuerdo con los resultados de sus indicadores </w:t>
      </w:r>
      <w:r w:rsidR="00C83948" w:rsidRPr="00B45090">
        <w:rPr>
          <w:rFonts w:ascii="Tahoma" w:hAnsi="Tahoma" w:cs="Tahoma"/>
        </w:rPr>
        <w:t xml:space="preserve">podemos concluir que el </w:t>
      </w:r>
      <w:r w:rsidR="00E029B6">
        <w:rPr>
          <w:rFonts w:ascii="Tahoma" w:hAnsi="Tahoma" w:cs="Tahoma"/>
        </w:rPr>
        <w:t xml:space="preserve">mencionado hospital </w:t>
      </w:r>
      <w:r w:rsidR="00C83948" w:rsidRPr="00B45090">
        <w:rPr>
          <w:rFonts w:ascii="Tahoma" w:hAnsi="Tahoma" w:cs="Tahoma"/>
        </w:rPr>
        <w:t>al corte del 3</w:t>
      </w:r>
      <w:r w:rsidR="00EA55D0">
        <w:rPr>
          <w:rFonts w:ascii="Tahoma" w:hAnsi="Tahoma" w:cs="Tahoma"/>
        </w:rPr>
        <w:t>1</w:t>
      </w:r>
      <w:r w:rsidR="00C83948" w:rsidRPr="00B45090">
        <w:rPr>
          <w:rFonts w:ascii="Tahoma" w:hAnsi="Tahoma" w:cs="Tahoma"/>
        </w:rPr>
        <w:t xml:space="preserve"> de diciembre de 201</w:t>
      </w:r>
      <w:r w:rsidR="00EA55D0">
        <w:rPr>
          <w:rFonts w:ascii="Tahoma" w:hAnsi="Tahoma" w:cs="Tahoma"/>
        </w:rPr>
        <w:t>5</w:t>
      </w:r>
      <w:r w:rsidR="00C83948" w:rsidRPr="00B45090">
        <w:rPr>
          <w:rFonts w:ascii="Tahoma" w:hAnsi="Tahoma" w:cs="Tahoma"/>
        </w:rPr>
        <w:t>, presentaba una situación financiera favorable.</w:t>
      </w:r>
    </w:p>
    <w:p w:rsidR="00A7456E" w:rsidRPr="00B45090" w:rsidRDefault="00A7456E" w:rsidP="00A7456E">
      <w:pPr>
        <w:spacing w:before="0" w:after="0"/>
        <w:jc w:val="both"/>
        <w:rPr>
          <w:rFonts w:ascii="Tahoma" w:hAnsi="Tahoma" w:cs="Tahoma"/>
        </w:rPr>
      </w:pPr>
    </w:p>
    <w:sectPr w:rsidR="00A7456E" w:rsidRPr="00B45090" w:rsidSect="00DE5A5F">
      <w:headerReference w:type="default" r:id="rId10"/>
      <w:footerReference w:type="default" r:id="rId11"/>
      <w:pgSz w:w="12242" w:h="15842" w:code="1"/>
      <w:pgMar w:top="2153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9F8" w:rsidRDefault="002529F8" w:rsidP="00650A99">
      <w:r>
        <w:separator/>
      </w:r>
    </w:p>
  </w:endnote>
  <w:endnote w:type="continuationSeparator" w:id="0">
    <w:p w:rsidR="002529F8" w:rsidRDefault="002529F8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E6A" w:rsidRPr="00070555" w:rsidRDefault="002B7E6A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DEEB24F" wp14:editId="193B31EE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7E6A" w:rsidRPr="003205FF" w:rsidRDefault="002B7E6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AB594F" w:rsidRPr="00AB594F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AB594F" w:rsidRPr="00AB594F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EB24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2B7E6A" w:rsidRPr="003205FF" w:rsidRDefault="002B7E6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AB594F" w:rsidRPr="00AB594F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AB594F" w:rsidRPr="00AB594F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F737E7" wp14:editId="3D28547D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7E6A" w:rsidRDefault="002B7E6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F737E7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2B7E6A" w:rsidRDefault="002B7E6A"/>
                </w:txbxContent>
              </v:textbox>
            </v:shape>
          </w:pict>
        </mc:Fallback>
      </mc:AlternateContent>
    </w:r>
  </w:p>
  <w:p w:rsidR="002B7E6A" w:rsidRPr="00070555" w:rsidRDefault="002B7E6A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F3E0265" wp14:editId="18EEC55E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7E6A" w:rsidRDefault="002B7E6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2B7E6A" w:rsidRDefault="002B7E6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2B7E6A" w:rsidRPr="00BB3D88" w:rsidRDefault="002B7E6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2B7E6A" w:rsidRPr="003205FF" w:rsidRDefault="00AB594F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2B7E6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2B7E6A" w:rsidRPr="000352F0" w:rsidRDefault="002B7E6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2B7E6A" w:rsidRPr="00BB3D88" w:rsidRDefault="002B7E6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2B7E6A" w:rsidRPr="00A926CE" w:rsidRDefault="002B7E6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3E0265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2B7E6A" w:rsidRDefault="002B7E6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2B7E6A" w:rsidRDefault="002B7E6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2B7E6A" w:rsidRPr="00BB3D88" w:rsidRDefault="002B7E6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2B7E6A" w:rsidRPr="003205FF" w:rsidRDefault="00AB594F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2B7E6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2B7E6A" w:rsidRPr="000352F0" w:rsidRDefault="002B7E6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2B7E6A" w:rsidRPr="00BB3D88" w:rsidRDefault="002B7E6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2B7E6A" w:rsidRPr="00A926CE" w:rsidRDefault="002B7E6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9F8" w:rsidRDefault="002529F8" w:rsidP="00650A99">
      <w:r>
        <w:separator/>
      </w:r>
    </w:p>
  </w:footnote>
  <w:footnote w:type="continuationSeparator" w:id="0">
    <w:p w:rsidR="002529F8" w:rsidRDefault="002529F8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E6A" w:rsidRPr="00124F58" w:rsidRDefault="002B7E6A" w:rsidP="00DE5A5F">
    <w:pPr>
      <w:pStyle w:val="Encabezado"/>
      <w:spacing w:before="0" w:after="0"/>
      <w:rPr>
        <w:rFonts w:ascii="Tahoma" w:hAnsi="Tahoma" w:cs="Tahoma"/>
        <w:sz w:val="8"/>
      </w:rPr>
    </w:pPr>
  </w:p>
  <w:p w:rsidR="002B7E6A" w:rsidRDefault="00DE5A5F">
    <w:pPr>
      <w:pStyle w:val="Encabezado"/>
    </w:pPr>
    <w:r>
      <w:rPr>
        <w:noProof/>
      </w:rPr>
      <w:drawing>
        <wp:inline distT="0" distB="0" distL="0" distR="0" wp14:anchorId="56A52BB9" wp14:editId="198B3EA3">
          <wp:extent cx="1400175" cy="1076325"/>
          <wp:effectExtent l="0" t="0" r="9525" b="9525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2551C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490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553AA"/>
    <w:rsid w:val="001605A0"/>
    <w:rsid w:val="00160B31"/>
    <w:rsid w:val="001666F5"/>
    <w:rsid w:val="0017250D"/>
    <w:rsid w:val="001A0D99"/>
    <w:rsid w:val="001A5473"/>
    <w:rsid w:val="001B7E9B"/>
    <w:rsid w:val="001D30AE"/>
    <w:rsid w:val="001E0386"/>
    <w:rsid w:val="001E19D5"/>
    <w:rsid w:val="001E2459"/>
    <w:rsid w:val="001E6C74"/>
    <w:rsid w:val="001F2005"/>
    <w:rsid w:val="001F3E0C"/>
    <w:rsid w:val="002049C5"/>
    <w:rsid w:val="00216974"/>
    <w:rsid w:val="00224140"/>
    <w:rsid w:val="00226503"/>
    <w:rsid w:val="00232710"/>
    <w:rsid w:val="002467D6"/>
    <w:rsid w:val="00250B2A"/>
    <w:rsid w:val="002529F8"/>
    <w:rsid w:val="00254A87"/>
    <w:rsid w:val="002608D4"/>
    <w:rsid w:val="00267A53"/>
    <w:rsid w:val="002702FE"/>
    <w:rsid w:val="002751D2"/>
    <w:rsid w:val="00280151"/>
    <w:rsid w:val="00293B22"/>
    <w:rsid w:val="00294FB6"/>
    <w:rsid w:val="00297AD1"/>
    <w:rsid w:val="002A5283"/>
    <w:rsid w:val="002B7E6A"/>
    <w:rsid w:val="002C1BB6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C0774"/>
    <w:rsid w:val="003C5E57"/>
    <w:rsid w:val="003E1D31"/>
    <w:rsid w:val="003E25A9"/>
    <w:rsid w:val="003E2C41"/>
    <w:rsid w:val="003F5E08"/>
    <w:rsid w:val="004032C1"/>
    <w:rsid w:val="00407637"/>
    <w:rsid w:val="004120E2"/>
    <w:rsid w:val="00430D77"/>
    <w:rsid w:val="00440EAB"/>
    <w:rsid w:val="00452DB6"/>
    <w:rsid w:val="00452E65"/>
    <w:rsid w:val="00454B8B"/>
    <w:rsid w:val="00466271"/>
    <w:rsid w:val="0046718C"/>
    <w:rsid w:val="00467508"/>
    <w:rsid w:val="00467595"/>
    <w:rsid w:val="00480FCA"/>
    <w:rsid w:val="00481C55"/>
    <w:rsid w:val="0048203B"/>
    <w:rsid w:val="0049303C"/>
    <w:rsid w:val="00496461"/>
    <w:rsid w:val="004A00E3"/>
    <w:rsid w:val="004B3739"/>
    <w:rsid w:val="004C10FE"/>
    <w:rsid w:val="004C250E"/>
    <w:rsid w:val="004C27B6"/>
    <w:rsid w:val="004D0B58"/>
    <w:rsid w:val="004D5666"/>
    <w:rsid w:val="004E17F3"/>
    <w:rsid w:val="004E3F57"/>
    <w:rsid w:val="004E585C"/>
    <w:rsid w:val="004F2F93"/>
    <w:rsid w:val="004F4C50"/>
    <w:rsid w:val="004F4E1C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B6F12"/>
    <w:rsid w:val="005C3743"/>
    <w:rsid w:val="005D57CC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45911"/>
    <w:rsid w:val="006467CD"/>
    <w:rsid w:val="00650A99"/>
    <w:rsid w:val="00652DA3"/>
    <w:rsid w:val="00670D69"/>
    <w:rsid w:val="00672971"/>
    <w:rsid w:val="006756E8"/>
    <w:rsid w:val="0067758A"/>
    <w:rsid w:val="00687B70"/>
    <w:rsid w:val="00692975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845CA"/>
    <w:rsid w:val="00796DDA"/>
    <w:rsid w:val="007B4882"/>
    <w:rsid w:val="007B57F9"/>
    <w:rsid w:val="007B70F7"/>
    <w:rsid w:val="007C4270"/>
    <w:rsid w:val="007E2DEE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530C9"/>
    <w:rsid w:val="00872CA8"/>
    <w:rsid w:val="008761A0"/>
    <w:rsid w:val="00897455"/>
    <w:rsid w:val="008A0D33"/>
    <w:rsid w:val="008A30E5"/>
    <w:rsid w:val="008A5D7F"/>
    <w:rsid w:val="008B3FAA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A33BC"/>
    <w:rsid w:val="009C0615"/>
    <w:rsid w:val="009D7ECE"/>
    <w:rsid w:val="009E50DF"/>
    <w:rsid w:val="009F3562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B594F"/>
    <w:rsid w:val="00AC2B0C"/>
    <w:rsid w:val="00AC6DD0"/>
    <w:rsid w:val="00AD33C2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45090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38C"/>
    <w:rsid w:val="00C404DC"/>
    <w:rsid w:val="00C43064"/>
    <w:rsid w:val="00C54674"/>
    <w:rsid w:val="00C6685D"/>
    <w:rsid w:val="00C70370"/>
    <w:rsid w:val="00C81FC2"/>
    <w:rsid w:val="00C83948"/>
    <w:rsid w:val="00CA08FB"/>
    <w:rsid w:val="00CB47E0"/>
    <w:rsid w:val="00CB4A00"/>
    <w:rsid w:val="00CC0170"/>
    <w:rsid w:val="00CC38D6"/>
    <w:rsid w:val="00CC74DC"/>
    <w:rsid w:val="00CD5CCB"/>
    <w:rsid w:val="00CD726A"/>
    <w:rsid w:val="00CE16DB"/>
    <w:rsid w:val="00CE3D10"/>
    <w:rsid w:val="00CE6524"/>
    <w:rsid w:val="00CF0493"/>
    <w:rsid w:val="00CF1EAB"/>
    <w:rsid w:val="00CF6745"/>
    <w:rsid w:val="00D226DC"/>
    <w:rsid w:val="00D33C32"/>
    <w:rsid w:val="00D41309"/>
    <w:rsid w:val="00D42439"/>
    <w:rsid w:val="00D718F8"/>
    <w:rsid w:val="00D71C09"/>
    <w:rsid w:val="00D774B6"/>
    <w:rsid w:val="00D81436"/>
    <w:rsid w:val="00D95EE7"/>
    <w:rsid w:val="00DA07E0"/>
    <w:rsid w:val="00DA76D0"/>
    <w:rsid w:val="00DB2278"/>
    <w:rsid w:val="00DB5DE5"/>
    <w:rsid w:val="00DD0981"/>
    <w:rsid w:val="00DD5CA9"/>
    <w:rsid w:val="00DE5A5F"/>
    <w:rsid w:val="00E00EAB"/>
    <w:rsid w:val="00E029B6"/>
    <w:rsid w:val="00E06024"/>
    <w:rsid w:val="00E231C1"/>
    <w:rsid w:val="00E37DA4"/>
    <w:rsid w:val="00E438FA"/>
    <w:rsid w:val="00E44E11"/>
    <w:rsid w:val="00E562E9"/>
    <w:rsid w:val="00E745B9"/>
    <w:rsid w:val="00E80CF1"/>
    <w:rsid w:val="00E82DF4"/>
    <w:rsid w:val="00EA55D0"/>
    <w:rsid w:val="00ED18CB"/>
    <w:rsid w:val="00F067EF"/>
    <w:rsid w:val="00F11CE8"/>
    <w:rsid w:val="00F152E9"/>
    <w:rsid w:val="00F413A2"/>
    <w:rsid w:val="00F57D5F"/>
    <w:rsid w:val="00F60B4E"/>
    <w:rsid w:val="00F64422"/>
    <w:rsid w:val="00F74A4C"/>
    <w:rsid w:val="00FA4C6D"/>
    <w:rsid w:val="00FB1D70"/>
    <w:rsid w:val="00FC413F"/>
    <w:rsid w:val="00FD1869"/>
    <w:rsid w:val="00FD24D7"/>
    <w:rsid w:val="00FD52EC"/>
    <w:rsid w:val="00FE0B11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876FF7C-B607-4262-A188-C7E03771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1AC9-8A79-48B1-979E-C4DFA473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8</Pages>
  <Words>2065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39</cp:revision>
  <cp:lastPrinted>2016-12-25T21:17:00Z</cp:lastPrinted>
  <dcterms:created xsi:type="dcterms:W3CDTF">2015-09-17T16:47:00Z</dcterms:created>
  <dcterms:modified xsi:type="dcterms:W3CDTF">2016-12-25T21:17:00Z</dcterms:modified>
</cp:coreProperties>
</file>