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9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1320"/>
        <w:gridCol w:w="1480"/>
        <w:gridCol w:w="1340"/>
        <w:gridCol w:w="1340"/>
      </w:tblGrid>
      <w:tr w:rsidR="00040509" w:rsidRPr="00040509" w:rsidTr="00040509">
        <w:trPr>
          <w:trHeight w:val="300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COYAIMA</w:t>
            </w:r>
          </w:p>
        </w:tc>
      </w:tr>
      <w:tr w:rsidR="00040509" w:rsidRPr="00040509" w:rsidTr="00040509">
        <w:trPr>
          <w:trHeight w:val="255"/>
        </w:trPr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Balance General Comparativo 2015 - 2014</w:t>
            </w:r>
          </w:p>
        </w:tc>
      </w:tr>
      <w:tr w:rsidR="00040509" w:rsidRPr="00040509" w:rsidTr="00040509">
        <w:trPr>
          <w:trHeight w:val="27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040509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040509" w:rsidRPr="00040509" w:rsidTr="00040509">
        <w:trPr>
          <w:trHeight w:val="78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30A0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4050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RELTIVA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9,702,889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11,715,229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-2,012,340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-17.18%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4,607,787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6,874,560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-2,266,773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-32.97%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4,607,787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6,874,560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-2,266,773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-32.97%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761,885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825,648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-63,763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-7.72%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761,885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825,648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-63,763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-7.72%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1,718,007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1,974,607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-256,600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-12.99%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52,966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42,916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10,050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23.42%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290,953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291,152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-0.07%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1,374,088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1,640,539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-266,451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-16.24%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10,796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-25,454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-70.22%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MERCANCÍAS EN EXISTENCIA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10,796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36,250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-25,454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-70.22%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2,530,043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1,968,060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561,983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28.56%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134,536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412,729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-278,193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-67.40%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151,958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141,116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10,842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7.68%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124,422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161,693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-37,271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-23.05%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2,251,236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1,312,538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938,698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71.52%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-132,109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-60,016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-72,093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120.12%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74,371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38,267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105.99%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9,597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1834.99%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64,251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35,581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28,670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80.58%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9,969,929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9,431,180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538,749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5.71%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Y FINANCIAMIENTO CON BANCA CENTRAL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687,849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1,049,017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-361,168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-34.43%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CRÉDITO PÚBLICO INTERNAS DE LARGO PLAZO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687,849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1,049,017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-361,168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-34.43%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7,827,040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6,994,723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832,317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11.90%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4,505,077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2,952,708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1,552,369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52.57%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50,417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101,965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-51,548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-50.55%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1,840,432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1,940,198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-99,766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-5.14%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42,426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56,577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-14,151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-25.01%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AVANCES Y ANTICIPOS RECIBIDOS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416,807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10,672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961,209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1,526,468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-565,259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-37.03%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485,329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448,629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36,700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8.18%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351,921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315,458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36,463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11.56%</w:t>
            </w:r>
          </w:p>
        </w:tc>
      </w:tr>
      <w:tr w:rsidR="00040509" w:rsidRPr="00040509" w:rsidTr="00040509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133,408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133,171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0.18%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PENSIONES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968,834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938,811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30,023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3.20%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968,834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938,811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30,023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3.20%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-267,040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2,284,049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-2,551,089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-111.69%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-267,040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2,284,049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-2,551,089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-111.69%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3,284,178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664,857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2,619,321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393.97%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-3,551,218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-3,551,218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0509" w:rsidRPr="00040509" w:rsidTr="00040509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EXCEDENTE DEL EJERCICIO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1,619,192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-1,619,192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40509" w:rsidRPr="00040509" w:rsidTr="00040509">
        <w:trPr>
          <w:trHeight w:val="27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DÉFICIT DEL  EJERCICIO (DB)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-3,551,218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-3,551,218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0509" w:rsidRPr="00040509" w:rsidRDefault="00040509" w:rsidP="0004050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4050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</w:tbl>
    <w:p w:rsidR="0067758A" w:rsidRDefault="0067758A" w:rsidP="0067758A"/>
    <w:p w:rsidR="00040509" w:rsidRDefault="00040509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Administración Municipal de Coyaima, en su Balance General a diciembre 31 de 2015, refleja una disminución de sus activos del 17.18%, por el contrario sus pasivos crecieron un 5.71% y el patrimonio rebajo su valor en el 111.69%, con respecto a lo registrado en la vigencia 2014.</w:t>
      </w:r>
    </w:p>
    <w:p w:rsidR="00040509" w:rsidRDefault="00040509" w:rsidP="00040509">
      <w:pPr>
        <w:spacing w:before="0" w:after="0"/>
        <w:jc w:val="both"/>
        <w:rPr>
          <w:rFonts w:ascii="Tahoma" w:hAnsi="Tahoma" w:cs="Tahoma"/>
        </w:rPr>
      </w:pPr>
    </w:p>
    <w:p w:rsidR="00040509" w:rsidRDefault="00040509" w:rsidP="00040509">
      <w:pPr>
        <w:spacing w:before="0" w:after="0"/>
        <w:jc w:val="both"/>
        <w:rPr>
          <w:rFonts w:ascii="Tahoma" w:hAnsi="Tahoma" w:cs="Tahoma"/>
        </w:rPr>
      </w:pPr>
    </w:p>
    <w:p w:rsidR="00040509" w:rsidRDefault="00040509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del grupo de activos, la cuenta Depósitos en instituciones Financieras fue la que </w:t>
      </w:r>
      <w:r w:rsidR="00324EE5">
        <w:rPr>
          <w:rFonts w:ascii="Tahoma" w:hAnsi="Tahoma" w:cs="Tahoma"/>
        </w:rPr>
        <w:t>más</w:t>
      </w:r>
      <w:r>
        <w:rPr>
          <w:rFonts w:ascii="Tahoma" w:hAnsi="Tahoma" w:cs="Tahoma"/>
        </w:rPr>
        <w:t xml:space="preserve"> </w:t>
      </w:r>
      <w:r w:rsidR="00324EE5">
        <w:rPr>
          <w:rFonts w:ascii="Tahoma" w:hAnsi="Tahoma" w:cs="Tahoma"/>
        </w:rPr>
        <w:t>contribuyó</w:t>
      </w:r>
      <w:r>
        <w:rPr>
          <w:rFonts w:ascii="Tahoma" w:hAnsi="Tahoma" w:cs="Tahoma"/>
        </w:rPr>
        <w:t xml:space="preserve"> a la disminución de estos, con el 32.97%, equivalente a la suma de $2.266.773 menos que lo registrado para esta cuenta en el 2014</w:t>
      </w:r>
      <w:r w:rsidR="00A00AAE">
        <w:rPr>
          <w:rFonts w:ascii="Tahoma" w:hAnsi="Tahoma" w:cs="Tahoma"/>
        </w:rPr>
        <w:t xml:space="preserve">, </w:t>
      </w:r>
      <w:r w:rsidR="00324EE5">
        <w:rPr>
          <w:rFonts w:ascii="Tahoma" w:hAnsi="Tahoma" w:cs="Tahoma"/>
        </w:rPr>
        <w:t>así</w:t>
      </w:r>
      <w:r w:rsidR="00A00AAE">
        <w:rPr>
          <w:rFonts w:ascii="Tahoma" w:hAnsi="Tahoma" w:cs="Tahoma"/>
        </w:rPr>
        <w:t xml:space="preserve"> mismo la cuenta Deudores con el </w:t>
      </w:r>
      <w:r w:rsidR="00324EE5">
        <w:rPr>
          <w:rFonts w:ascii="Tahoma" w:hAnsi="Tahoma" w:cs="Tahoma"/>
        </w:rPr>
        <w:t>12.99% de reducción en su saldo, las Rentas por Cobrar con el 7.72% y los inventarios con el 70.22%, también incidieron en la reducción que refleja los activos en la vigencia 2015, comparada con el 2014.</w:t>
      </w:r>
    </w:p>
    <w:p w:rsidR="00324EE5" w:rsidRDefault="00324EE5" w:rsidP="00040509">
      <w:pPr>
        <w:spacing w:before="0" w:after="0"/>
        <w:jc w:val="both"/>
        <w:rPr>
          <w:rFonts w:ascii="Tahoma" w:hAnsi="Tahoma" w:cs="Tahoma"/>
        </w:rPr>
      </w:pPr>
    </w:p>
    <w:p w:rsidR="00324EE5" w:rsidRDefault="00324EE5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del Pasivo</w:t>
      </w:r>
      <w:r w:rsidR="00DD73D2">
        <w:rPr>
          <w:rFonts w:ascii="Tahoma" w:hAnsi="Tahoma" w:cs="Tahoma"/>
        </w:rPr>
        <w:t>, por el contrario del activo, nos muestra un incremento del 5.71%, es decir que de un saldo de $9.431.180 en el 2014, paso en el 2015 a la suma de $9.969.929.</w:t>
      </w:r>
    </w:p>
    <w:p w:rsidR="00DD73D2" w:rsidRDefault="00DD73D2" w:rsidP="00040509">
      <w:pPr>
        <w:spacing w:before="0" w:after="0"/>
        <w:jc w:val="both"/>
        <w:rPr>
          <w:rFonts w:ascii="Tahoma" w:hAnsi="Tahoma" w:cs="Tahoma"/>
        </w:rPr>
      </w:pPr>
    </w:p>
    <w:p w:rsidR="00DD73D2" w:rsidRDefault="00DD73D2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cuentas que componen este grupo, tenemos que las Cuentas por Pagar crecieron en un 11.90%, los Salarios y Prestaciones Sociales el 11.56% y los Otros Pasivos el 3.20%.</w:t>
      </w:r>
    </w:p>
    <w:p w:rsidR="00DD73D2" w:rsidRDefault="00DD73D2" w:rsidP="00040509">
      <w:pPr>
        <w:spacing w:before="0" w:after="0"/>
        <w:jc w:val="both"/>
        <w:rPr>
          <w:rFonts w:ascii="Tahoma" w:hAnsi="Tahoma" w:cs="Tahoma"/>
        </w:rPr>
      </w:pPr>
    </w:p>
    <w:p w:rsidR="00AF09B1" w:rsidRDefault="00DD73D2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el co</w:t>
      </w:r>
      <w:r w:rsidR="00AF09B1">
        <w:rPr>
          <w:rFonts w:ascii="Tahoma" w:hAnsi="Tahoma" w:cs="Tahoma"/>
        </w:rPr>
        <w:t>ntrario, la cuenta Operaciones de Crédito Publico Internas de Largo Plazo refleja una disminución del 34.43%, la suma de $361.168 miles, pasando de un saldo de $1.049.017 miles en el 2014, a un saldo de $687.849 miles en el 2015.</w:t>
      </w:r>
    </w:p>
    <w:p w:rsidR="00AF09B1" w:rsidRDefault="00AF09B1" w:rsidP="00040509">
      <w:pPr>
        <w:spacing w:before="0" w:after="0"/>
        <w:jc w:val="both"/>
        <w:rPr>
          <w:rFonts w:ascii="Tahoma" w:hAnsi="Tahoma" w:cs="Tahoma"/>
        </w:rPr>
      </w:pPr>
    </w:p>
    <w:p w:rsidR="00DD73D2" w:rsidRDefault="00AF09B1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Finalmente, la cuenta Patrimonio refleja una preocupante disminución del 111.69%, a tal punto que para la vigencia 2015, refleja un saldo negativo por la suma de $267.040, esta situación obedece principalmente a la cuenta Resultados del Ejercicio ya que de un excedente en el 2014 por valor de $1.619.192 miles, paso a un déficit en el 2015 por la suma de $3.551.218 miles. </w:t>
      </w:r>
    </w:p>
    <w:p w:rsidR="00324EE5" w:rsidRDefault="00324EE5" w:rsidP="00040509">
      <w:pPr>
        <w:spacing w:before="0" w:after="0"/>
        <w:jc w:val="both"/>
        <w:rPr>
          <w:rFonts w:ascii="Tahoma" w:hAnsi="Tahoma" w:cs="Tahoma"/>
        </w:rPr>
      </w:pPr>
    </w:p>
    <w:p w:rsidR="00324EE5" w:rsidRDefault="00324EE5" w:rsidP="00040509">
      <w:pPr>
        <w:spacing w:before="0" w:after="0"/>
        <w:jc w:val="both"/>
        <w:rPr>
          <w:rFonts w:ascii="Tahoma" w:hAnsi="Tahoma" w:cs="Tahoma"/>
        </w:rPr>
      </w:pPr>
    </w:p>
    <w:p w:rsidR="00324EE5" w:rsidRDefault="00324EE5" w:rsidP="00040509">
      <w:pPr>
        <w:spacing w:before="0" w:after="0"/>
        <w:jc w:val="both"/>
        <w:rPr>
          <w:rFonts w:ascii="Tahoma" w:hAnsi="Tahoma" w:cs="Tahoma"/>
        </w:rPr>
      </w:pPr>
    </w:p>
    <w:p w:rsidR="00324EE5" w:rsidRDefault="00AF09B1" w:rsidP="00040509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0B8DE300">
            <wp:extent cx="5334635" cy="309689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4E2D" w:rsidRDefault="000A4E2D" w:rsidP="00A1087C">
      <w:pPr>
        <w:spacing w:before="0" w:after="0"/>
        <w:jc w:val="both"/>
        <w:rPr>
          <w:rFonts w:ascii="Tahoma" w:hAnsi="Tahoma" w:cs="Tahoma"/>
        </w:rPr>
      </w:pPr>
    </w:p>
    <w:p w:rsidR="00BC5D7D" w:rsidRDefault="00BC5D7D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AF09B1" w:rsidRDefault="00AF09B1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 xml:space="preserve">ESTADO DE ACTIVIDAD FINANCIERA, ECONÓMICA, SOCIAL </w:t>
      </w:r>
    </w:p>
    <w:p w:rsidR="00BC5D7D" w:rsidRDefault="00BC5D7D" w:rsidP="0067758A">
      <w:pPr>
        <w:rPr>
          <w:noProof/>
        </w:rPr>
      </w:pPr>
    </w:p>
    <w:tbl>
      <w:tblPr>
        <w:tblW w:w="9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380"/>
        <w:gridCol w:w="1360"/>
        <w:gridCol w:w="1329"/>
        <w:gridCol w:w="1360"/>
      </w:tblGrid>
      <w:tr w:rsidR="0090337E" w:rsidRPr="0090337E" w:rsidTr="0090337E">
        <w:trPr>
          <w:trHeight w:val="300"/>
        </w:trPr>
        <w:tc>
          <w:tcPr>
            <w:tcW w:w="9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MUNICIPAL DE COYAIMA</w:t>
            </w:r>
          </w:p>
        </w:tc>
      </w:tr>
      <w:tr w:rsidR="0090337E" w:rsidRPr="0090337E" w:rsidTr="0090337E">
        <w:trPr>
          <w:trHeight w:val="255"/>
        </w:trPr>
        <w:tc>
          <w:tcPr>
            <w:tcW w:w="9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Estado de Actividad Financiera, Económica y Social Comparativo 2015 - 2014</w:t>
            </w:r>
          </w:p>
        </w:tc>
      </w:tr>
      <w:tr w:rsidR="0090337E" w:rsidRPr="0090337E" w:rsidTr="0090337E">
        <w:trPr>
          <w:trHeight w:val="27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90337E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90337E" w:rsidRPr="0090337E" w:rsidTr="0090337E">
        <w:trPr>
          <w:trHeight w:val="525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7030A0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7030A0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7030A0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0337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RELTIVA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30,775,242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25,638,565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5,136,677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20.03%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3,641,969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2,685,502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956,467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35.62%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1,826,117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1,961,743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-135,626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-6.91%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1,815,852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723,759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1,092,093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150.89%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25,949,490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22,793,804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3,155,686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13.84%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25,758,789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21,963,157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3,795,632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17.28%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SALUD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14,605,630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13,281,223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1,324,407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9.97%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1,636,790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965,380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671,410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69.55%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6,979,255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6,050,525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928,730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15.35%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259,885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232,986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26,899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11.55%</w:t>
            </w:r>
          </w:p>
        </w:tc>
      </w:tr>
      <w:tr w:rsidR="0090337E" w:rsidRPr="0090337E" w:rsidTr="0090337E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MUNICIPIOS Y DISTRITOS CON RIBERA SOBRE EL RÍO GRANDE DE LA MAGDALENA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95,850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5,174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5.40%</w:t>
            </w:r>
          </w:p>
        </w:tc>
      </w:tr>
      <w:tr w:rsidR="0090337E" w:rsidRPr="0090337E" w:rsidTr="0090337E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2,176,205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1,337,193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839,012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62.74%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190,701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830,647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-639,946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-77.04%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1,183,783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159,259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1,024,524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643.31%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23,543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38,249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-14,706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-38.45%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1,051,327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1,048,342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35120.34%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108,913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118,025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-9,112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-7.72%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34,326,460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24,019,373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10,307,087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42.91%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2,630,564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2,358,491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272,073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11.54%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1,517,294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1,312,025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205,269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15.65%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154,870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211,671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-56,801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-26.83%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356,991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59,777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16.74%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35,423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8,740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24.67%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496,569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441,554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55,015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12.46%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0337E" w:rsidRPr="0090337E" w:rsidTr="0090337E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72,092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12,076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20.12%</w:t>
            </w:r>
          </w:p>
        </w:tc>
      </w:tr>
      <w:tr w:rsidR="0090337E" w:rsidRPr="0090337E" w:rsidTr="0090337E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72,092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60,016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12,076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20.12%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TRANSFERENCIAS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726,369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680,892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45,477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6.68%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726,369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680,892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45,477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6.68%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30,529,436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20,790,737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9,738,699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46.84%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2,645,302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1,517,405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1,127,897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74.33%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14,627,589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13,950,147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677,442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4.86%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2,359,899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430,259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1,929,640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448.48%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110,232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33,452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76,780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229.52%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416,894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165,198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251,696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152.36%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730,604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491,232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239,372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48.73%</w:t>
            </w:r>
          </w:p>
        </w:tc>
      </w:tr>
      <w:tr w:rsidR="0090337E" w:rsidRPr="0090337E" w:rsidTr="0090337E">
        <w:trPr>
          <w:trHeight w:val="45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9,356,505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4,203,044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5,153,461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122.61%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264,400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18,011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367,999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129,237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238,762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184.75%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-11,222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-11.08%</w:t>
            </w:r>
          </w:p>
        </w:tc>
      </w:tr>
      <w:tr w:rsidR="0090337E" w:rsidRPr="0090337E" w:rsidTr="0090337E">
        <w:trPr>
          <w:trHeight w:val="25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44,997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27,993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60.74%</w:t>
            </w:r>
          </w:p>
        </w:tc>
      </w:tr>
      <w:tr w:rsidR="0090337E" w:rsidRPr="0090337E" w:rsidTr="0090337E">
        <w:trPr>
          <w:trHeight w:val="27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232,980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232,980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37E" w:rsidRPr="0090337E" w:rsidRDefault="0090337E" w:rsidP="0090337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0337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</w:tbl>
    <w:p w:rsidR="00FD731B" w:rsidRDefault="00FD731B" w:rsidP="0067758A"/>
    <w:p w:rsidR="00C1024D" w:rsidRDefault="00630301" w:rsidP="00FD731B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>Con respecto al Estado de Actividad Financiera, podemos concluir que para la vigencia 201</w:t>
      </w:r>
      <w:r w:rsidR="00FD731B">
        <w:rPr>
          <w:rFonts w:ascii="Tahoma" w:hAnsi="Tahoma" w:cs="Tahoma"/>
        </w:rPr>
        <w:t>5</w:t>
      </w:r>
      <w:r w:rsidRPr="00814D3D">
        <w:rPr>
          <w:rFonts w:ascii="Tahoma" w:hAnsi="Tahoma" w:cs="Tahoma"/>
        </w:rPr>
        <w:t xml:space="preserve"> los ingresos tuvieron un </w:t>
      </w:r>
      <w:r w:rsidR="00FD731B">
        <w:rPr>
          <w:rFonts w:ascii="Tahoma" w:hAnsi="Tahoma" w:cs="Tahoma"/>
        </w:rPr>
        <w:t>aumento</w:t>
      </w:r>
      <w:r w:rsidRPr="00814D3D">
        <w:rPr>
          <w:rFonts w:ascii="Tahoma" w:hAnsi="Tahoma" w:cs="Tahoma"/>
        </w:rPr>
        <w:t xml:space="preserve"> de</w:t>
      </w:r>
      <w:r w:rsidR="0090337E">
        <w:rPr>
          <w:rFonts w:ascii="Tahoma" w:hAnsi="Tahoma" w:cs="Tahoma"/>
        </w:rPr>
        <w:t>l</w:t>
      </w:r>
      <w:r w:rsidR="00B47B96">
        <w:rPr>
          <w:rFonts w:ascii="Tahoma" w:hAnsi="Tahoma" w:cs="Tahoma"/>
        </w:rPr>
        <w:t xml:space="preserve"> </w:t>
      </w:r>
      <w:r w:rsidR="0090337E">
        <w:rPr>
          <w:rFonts w:ascii="Tahoma" w:hAnsi="Tahoma" w:cs="Tahoma"/>
        </w:rPr>
        <w:t>20.03</w:t>
      </w:r>
      <w:r w:rsidR="00B47B96">
        <w:rPr>
          <w:rFonts w:ascii="Tahoma" w:hAnsi="Tahoma" w:cs="Tahoma"/>
        </w:rPr>
        <w:t>%</w:t>
      </w:r>
      <w:r w:rsidR="00FD731B">
        <w:rPr>
          <w:rFonts w:ascii="Tahoma" w:hAnsi="Tahoma" w:cs="Tahoma"/>
        </w:rPr>
        <w:t xml:space="preserve"> y los Gastos por su parte, también </w:t>
      </w:r>
      <w:r w:rsidR="00C1024D">
        <w:rPr>
          <w:rFonts w:ascii="Tahoma" w:hAnsi="Tahoma" w:cs="Tahoma"/>
        </w:rPr>
        <w:t xml:space="preserve">incrementaron su valor en un una proporción del </w:t>
      </w:r>
      <w:r w:rsidR="0090337E">
        <w:rPr>
          <w:rFonts w:ascii="Tahoma" w:hAnsi="Tahoma" w:cs="Tahoma"/>
        </w:rPr>
        <w:t>42.91</w:t>
      </w:r>
      <w:r w:rsidR="00C1024D">
        <w:rPr>
          <w:rFonts w:ascii="Tahoma" w:hAnsi="Tahoma" w:cs="Tahoma"/>
        </w:rPr>
        <w:t>%.</w:t>
      </w:r>
    </w:p>
    <w:p w:rsidR="00C1024D" w:rsidRDefault="00C1024D" w:rsidP="00FD731B">
      <w:pPr>
        <w:spacing w:before="0" w:after="0"/>
        <w:jc w:val="both"/>
        <w:rPr>
          <w:rFonts w:ascii="Tahoma" w:hAnsi="Tahoma" w:cs="Tahoma"/>
        </w:rPr>
      </w:pPr>
    </w:p>
    <w:p w:rsidR="00301C13" w:rsidRDefault="00C1024D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Dentro de los ingresos tenemos que los Tributarios </w:t>
      </w:r>
      <w:r w:rsidR="0090337E">
        <w:rPr>
          <w:rFonts w:ascii="Tahoma" w:hAnsi="Tahoma" w:cs="Tahoma"/>
        </w:rPr>
        <w:t>disminuyeron</w:t>
      </w:r>
      <w:r>
        <w:rPr>
          <w:rFonts w:ascii="Tahoma" w:hAnsi="Tahoma" w:cs="Tahoma"/>
        </w:rPr>
        <w:t xml:space="preserve"> su recaudo en la suma de $</w:t>
      </w:r>
      <w:r w:rsidR="0090337E">
        <w:rPr>
          <w:rFonts w:ascii="Tahoma" w:hAnsi="Tahoma" w:cs="Tahoma"/>
        </w:rPr>
        <w:t>135.626</w:t>
      </w:r>
      <w:r>
        <w:rPr>
          <w:rFonts w:ascii="Tahoma" w:hAnsi="Tahoma" w:cs="Tahoma"/>
        </w:rPr>
        <w:t xml:space="preserve"> (miles de $) con respecto a la vigencia 2014</w:t>
      </w:r>
      <w:r w:rsidR="00301C13">
        <w:rPr>
          <w:rFonts w:ascii="Tahoma" w:hAnsi="Tahoma" w:cs="Tahoma"/>
        </w:rPr>
        <w:t>, es decir un</w:t>
      </w:r>
      <w:r w:rsidR="0090337E">
        <w:rPr>
          <w:rFonts w:ascii="Tahoma" w:hAnsi="Tahoma" w:cs="Tahoma"/>
        </w:rPr>
        <w:t>a</w:t>
      </w:r>
      <w:r w:rsidR="00301C13">
        <w:rPr>
          <w:rFonts w:ascii="Tahoma" w:hAnsi="Tahoma" w:cs="Tahoma"/>
        </w:rPr>
        <w:t xml:space="preserve"> </w:t>
      </w:r>
      <w:r w:rsidR="0090337E">
        <w:rPr>
          <w:rFonts w:ascii="Tahoma" w:hAnsi="Tahoma" w:cs="Tahoma"/>
        </w:rPr>
        <w:t>reducción</w:t>
      </w:r>
      <w:r w:rsidR="00301C13">
        <w:rPr>
          <w:rFonts w:ascii="Tahoma" w:hAnsi="Tahoma" w:cs="Tahoma"/>
        </w:rPr>
        <w:t xml:space="preserve"> del </w:t>
      </w:r>
      <w:r w:rsidR="0090337E">
        <w:rPr>
          <w:rFonts w:ascii="Tahoma" w:hAnsi="Tahoma" w:cs="Tahoma"/>
        </w:rPr>
        <w:t>6.91%.</w:t>
      </w:r>
      <w:r w:rsidR="00301C13">
        <w:rPr>
          <w:rFonts w:ascii="Tahoma" w:hAnsi="Tahoma" w:cs="Tahoma"/>
        </w:rPr>
        <w:t xml:space="preserve"> Así mismo, el mayor incremento lo reflejan los Ingresos no Tributarios con el </w:t>
      </w:r>
      <w:r w:rsidR="0090337E">
        <w:rPr>
          <w:rFonts w:ascii="Tahoma" w:hAnsi="Tahoma" w:cs="Tahoma"/>
        </w:rPr>
        <w:t>150.89</w:t>
      </w:r>
      <w:r w:rsidR="00301C13">
        <w:rPr>
          <w:rFonts w:ascii="Tahoma" w:hAnsi="Tahoma" w:cs="Tahoma"/>
        </w:rPr>
        <w:t>% representado en términos reales en la suma de $</w:t>
      </w:r>
      <w:r w:rsidR="0090337E">
        <w:rPr>
          <w:rFonts w:ascii="Tahoma" w:hAnsi="Tahoma" w:cs="Tahoma"/>
        </w:rPr>
        <w:t>1.092.093</w:t>
      </w:r>
      <w:r w:rsidR="00301C13">
        <w:rPr>
          <w:rFonts w:ascii="Tahoma" w:hAnsi="Tahoma" w:cs="Tahoma"/>
        </w:rPr>
        <w:t xml:space="preserve"> (miles de $).</w:t>
      </w:r>
    </w:p>
    <w:p w:rsidR="00301C13" w:rsidRDefault="00301C13" w:rsidP="00FD731B">
      <w:pPr>
        <w:spacing w:before="0" w:after="0"/>
        <w:jc w:val="both"/>
        <w:rPr>
          <w:rFonts w:ascii="Tahoma" w:hAnsi="Tahoma" w:cs="Tahoma"/>
        </w:rPr>
      </w:pPr>
    </w:p>
    <w:p w:rsidR="003A0BEB" w:rsidRDefault="0090337E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otra parte, los ingresos por transferencias elevaron su recaudo en el 13.84%, que comparado con lo registrado en la vigencia 2014, muestra un aumento por la suma de $3.155.686 miles de pesos; de allí que, la cuenta Participación para Salud del Sistema General de Participaciones revela un incremento del 9.97%, Educación el 69.55%, Propósito General</w:t>
      </w:r>
      <w:r w:rsidR="00055D25">
        <w:rPr>
          <w:rFonts w:ascii="Tahoma" w:hAnsi="Tahoma" w:cs="Tahoma"/>
        </w:rPr>
        <w:t xml:space="preserve"> el 15.35%, Programas de Alimentación Escolar el 11.55% y Agua Potable y Saneamiento Básico el 62.74%.</w:t>
      </w:r>
    </w:p>
    <w:p w:rsidR="003A0BEB" w:rsidRDefault="003A0BEB" w:rsidP="00FD731B">
      <w:pPr>
        <w:spacing w:before="0" w:after="0"/>
        <w:jc w:val="both"/>
        <w:rPr>
          <w:rFonts w:ascii="Tahoma" w:hAnsi="Tahoma" w:cs="Tahoma"/>
        </w:rPr>
      </w:pPr>
    </w:p>
    <w:p w:rsidR="00787E63" w:rsidRDefault="00787E63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 los Gastos</w:t>
      </w:r>
      <w:r w:rsidR="00055D2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los de administración refleja un aumento del </w:t>
      </w:r>
      <w:r w:rsidR="00055D25">
        <w:rPr>
          <w:rFonts w:ascii="Tahoma" w:hAnsi="Tahoma" w:cs="Tahoma"/>
        </w:rPr>
        <w:t>11.54</w:t>
      </w:r>
      <w:r w:rsidR="004B68AF">
        <w:rPr>
          <w:rFonts w:ascii="Tahoma" w:hAnsi="Tahoma" w:cs="Tahoma"/>
        </w:rPr>
        <w:t xml:space="preserve">% dentro de estos la cuenta de mayor incremento fueron los </w:t>
      </w:r>
      <w:r w:rsidR="00055D25">
        <w:rPr>
          <w:rFonts w:ascii="Tahoma" w:hAnsi="Tahoma" w:cs="Tahoma"/>
        </w:rPr>
        <w:t>Aportes Sobre la Nómina con el 24.67%,</w:t>
      </w:r>
      <w:r w:rsidR="00873E9F">
        <w:rPr>
          <w:rFonts w:ascii="Tahoma" w:hAnsi="Tahoma" w:cs="Tahoma"/>
        </w:rPr>
        <w:t xml:space="preserve"> los Sueldos y Salarios el 15.65%</w:t>
      </w:r>
    </w:p>
    <w:p w:rsidR="004B68AF" w:rsidRDefault="004B68AF" w:rsidP="00FD731B">
      <w:pPr>
        <w:spacing w:before="0" w:after="0"/>
        <w:jc w:val="both"/>
        <w:rPr>
          <w:rFonts w:ascii="Tahoma" w:hAnsi="Tahoma" w:cs="Tahoma"/>
        </w:rPr>
      </w:pPr>
    </w:p>
    <w:p w:rsidR="004B68AF" w:rsidRPr="00814D3D" w:rsidRDefault="004B68AF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Ahora bien, dentro de las variaciones importantes que refleja el Estado de Actividad Financiera tenemos el Gasto Público Social con el </w:t>
      </w:r>
      <w:r w:rsidR="00F1665C">
        <w:rPr>
          <w:rFonts w:ascii="Tahoma" w:hAnsi="Tahoma" w:cs="Tahoma"/>
        </w:rPr>
        <w:t>46.86</w:t>
      </w:r>
      <w:r>
        <w:rPr>
          <w:rFonts w:ascii="Tahoma" w:hAnsi="Tahoma" w:cs="Tahoma"/>
        </w:rPr>
        <w:t xml:space="preserve">% de incremento </w:t>
      </w:r>
      <w:r w:rsidR="004C1BE4">
        <w:rPr>
          <w:rFonts w:ascii="Tahoma" w:hAnsi="Tahoma" w:cs="Tahoma"/>
        </w:rPr>
        <w:t xml:space="preserve">con respecto a la </w:t>
      </w:r>
      <w:r w:rsidR="004C1BE4">
        <w:rPr>
          <w:rFonts w:ascii="Tahoma" w:hAnsi="Tahoma" w:cs="Tahoma"/>
        </w:rPr>
        <w:lastRenderedPageBreak/>
        <w:t xml:space="preserve">vigencia 2014; la Inversión en el Sector </w:t>
      </w:r>
      <w:r w:rsidR="00F1665C">
        <w:rPr>
          <w:rFonts w:ascii="Tahoma" w:hAnsi="Tahoma" w:cs="Tahoma"/>
        </w:rPr>
        <w:t>A</w:t>
      </w:r>
      <w:r w:rsidR="00294250">
        <w:rPr>
          <w:rFonts w:ascii="Tahoma" w:hAnsi="Tahoma" w:cs="Tahoma"/>
        </w:rPr>
        <w:t xml:space="preserve">Gua Potable y Saneamiento Básico refleja el mayor crecimiento con el </w:t>
      </w:r>
      <w:r w:rsidR="00F1665C">
        <w:rPr>
          <w:rFonts w:ascii="Tahoma" w:hAnsi="Tahoma" w:cs="Tahoma"/>
        </w:rPr>
        <w:t>448.48</w:t>
      </w:r>
      <w:r w:rsidR="00294250">
        <w:rPr>
          <w:rFonts w:ascii="Tahoma" w:hAnsi="Tahoma" w:cs="Tahoma"/>
        </w:rPr>
        <w:t xml:space="preserve">% el Sector </w:t>
      </w:r>
      <w:r w:rsidR="00F1665C">
        <w:rPr>
          <w:rFonts w:ascii="Tahoma" w:hAnsi="Tahoma" w:cs="Tahoma"/>
        </w:rPr>
        <w:t>Educacion</w:t>
      </w:r>
      <w:r w:rsidR="004C1BE4">
        <w:rPr>
          <w:rFonts w:ascii="Tahoma" w:hAnsi="Tahoma" w:cs="Tahoma"/>
        </w:rPr>
        <w:t xml:space="preserve"> </w:t>
      </w:r>
      <w:r w:rsidR="00294250">
        <w:rPr>
          <w:rFonts w:ascii="Tahoma" w:hAnsi="Tahoma" w:cs="Tahoma"/>
        </w:rPr>
        <w:t>un</w:t>
      </w:r>
      <w:r w:rsidR="004C1BE4">
        <w:rPr>
          <w:rFonts w:ascii="Tahoma" w:hAnsi="Tahoma" w:cs="Tahoma"/>
        </w:rPr>
        <w:t xml:space="preserve"> crecimiento durante la vigencia 2015 </w:t>
      </w:r>
      <w:r w:rsidR="00294250">
        <w:rPr>
          <w:rFonts w:ascii="Tahoma" w:hAnsi="Tahoma" w:cs="Tahoma"/>
        </w:rPr>
        <w:t>d</w:t>
      </w:r>
      <w:r w:rsidR="004C1BE4">
        <w:rPr>
          <w:rFonts w:ascii="Tahoma" w:hAnsi="Tahoma" w:cs="Tahoma"/>
        </w:rPr>
        <w:t xml:space="preserve">el </w:t>
      </w:r>
      <w:r w:rsidR="00F1665C">
        <w:rPr>
          <w:rFonts w:ascii="Tahoma" w:hAnsi="Tahoma" w:cs="Tahoma"/>
        </w:rPr>
        <w:t>74.33</w:t>
      </w:r>
      <w:r w:rsidR="00294250">
        <w:rPr>
          <w:rFonts w:ascii="Tahoma" w:hAnsi="Tahoma" w:cs="Tahoma"/>
        </w:rPr>
        <w:t>2</w:t>
      </w:r>
      <w:r w:rsidR="004C1BE4">
        <w:rPr>
          <w:rFonts w:ascii="Tahoma" w:hAnsi="Tahoma" w:cs="Tahoma"/>
        </w:rPr>
        <w:t xml:space="preserve">%, seguido del sector </w:t>
      </w:r>
      <w:r w:rsidR="00F1665C">
        <w:rPr>
          <w:rFonts w:ascii="Tahoma" w:hAnsi="Tahoma" w:cs="Tahoma"/>
        </w:rPr>
        <w:t>Vivienda</w:t>
      </w:r>
      <w:r w:rsidR="004C1BE4">
        <w:rPr>
          <w:rFonts w:ascii="Tahoma" w:hAnsi="Tahoma" w:cs="Tahoma"/>
        </w:rPr>
        <w:t xml:space="preserve"> con el </w:t>
      </w:r>
      <w:r w:rsidR="00F1665C">
        <w:rPr>
          <w:rFonts w:ascii="Tahoma" w:hAnsi="Tahoma" w:cs="Tahoma"/>
        </w:rPr>
        <w:t>229.52</w:t>
      </w:r>
      <w:r w:rsidR="004C1BE4">
        <w:rPr>
          <w:rFonts w:ascii="Tahoma" w:hAnsi="Tahoma" w:cs="Tahoma"/>
        </w:rPr>
        <w:t xml:space="preserve">% y el Sector </w:t>
      </w:r>
      <w:r w:rsidR="00F1665C">
        <w:rPr>
          <w:rFonts w:ascii="Tahoma" w:hAnsi="Tahoma" w:cs="Tahoma"/>
        </w:rPr>
        <w:t>Recreacon y Deporte</w:t>
      </w:r>
      <w:r w:rsidR="004C1BE4">
        <w:rPr>
          <w:rFonts w:ascii="Tahoma" w:hAnsi="Tahoma" w:cs="Tahoma"/>
        </w:rPr>
        <w:t xml:space="preserve"> el </w:t>
      </w:r>
      <w:r w:rsidR="00F1665C">
        <w:rPr>
          <w:rFonts w:ascii="Tahoma" w:hAnsi="Tahoma" w:cs="Tahoma"/>
        </w:rPr>
        <w:t>152.36</w:t>
      </w:r>
      <w:r w:rsidR="004C1BE4">
        <w:rPr>
          <w:rFonts w:ascii="Tahoma" w:hAnsi="Tahoma" w:cs="Tahoma"/>
        </w:rPr>
        <w:t>%.</w:t>
      </w:r>
    </w:p>
    <w:p w:rsidR="004C1BE4" w:rsidRDefault="004C1BE4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321FA0" w:rsidRDefault="00321FA0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321FA0" w:rsidRPr="007119C4" w:rsidRDefault="007119C4" w:rsidP="007119C4">
      <w:pPr>
        <w:spacing w:before="0" w:after="0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drawing>
          <wp:inline distT="0" distB="0" distL="0" distR="0" wp14:anchorId="20579111">
            <wp:extent cx="5346700" cy="3474720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347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1FA0" w:rsidRPr="007119C4" w:rsidRDefault="00321FA0" w:rsidP="007119C4">
      <w:pPr>
        <w:spacing w:before="0" w:after="0"/>
        <w:rPr>
          <w:rFonts w:ascii="Tahoma" w:hAnsi="Tahoma" w:cs="Tahoma"/>
          <w:b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4C1BE4" w:rsidRDefault="004C1BE4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7119C4">
        <w:rPr>
          <w:rFonts w:ascii="Tahoma" w:hAnsi="Tahoma" w:cs="Tahoma"/>
        </w:rPr>
        <w:t>4.607.787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4C1BE4">
        <w:rPr>
          <w:rFonts w:ascii="Tahoma" w:hAnsi="Tahoma" w:cs="Tahoma"/>
        </w:rPr>
        <w:t xml:space="preserve">  </w:t>
      </w:r>
      <w:r w:rsidR="007119C4">
        <w:rPr>
          <w:rFonts w:ascii="Tahoma" w:hAnsi="Tahoma" w:cs="Tahoma"/>
        </w:rPr>
        <w:t>761.885</w:t>
      </w:r>
    </w:p>
    <w:p w:rsidR="001666F5" w:rsidRPr="00814D3D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</w:t>
      </w:r>
      <w:r w:rsidR="007119C4">
        <w:rPr>
          <w:rFonts w:ascii="Tahoma" w:hAnsi="Tahoma" w:cs="Tahoma"/>
        </w:rPr>
        <w:t>1.718.007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7119C4">
        <w:rPr>
          <w:rFonts w:ascii="Tahoma" w:hAnsi="Tahoma" w:cs="Tahoma"/>
        </w:rPr>
        <w:t>7.087.679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7C5D90" w:rsidRDefault="007C5D90" w:rsidP="004C1BE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Operaciones de </w:t>
      </w:r>
      <w:r w:rsidR="007119C4">
        <w:rPr>
          <w:rFonts w:ascii="Tahoma" w:hAnsi="Tahoma" w:cs="Tahoma"/>
        </w:rPr>
        <w:t>Crédito Publico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7119C4">
        <w:rPr>
          <w:rFonts w:ascii="Tahoma" w:hAnsi="Tahoma" w:cs="Tahoma"/>
        </w:rPr>
        <w:t xml:space="preserve">   687.849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  <w:r w:rsidR="007C5D90">
        <w:rPr>
          <w:rFonts w:ascii="Tahoma" w:hAnsi="Tahoma" w:cs="Tahoma"/>
        </w:rPr>
        <w:t xml:space="preserve"> </w:t>
      </w:r>
      <w:r w:rsidR="007119C4">
        <w:rPr>
          <w:rFonts w:ascii="Tahoma" w:hAnsi="Tahoma" w:cs="Tahoma"/>
        </w:rPr>
        <w:t>7.827.040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7119C4">
        <w:rPr>
          <w:rFonts w:ascii="Tahoma" w:hAnsi="Tahoma" w:cs="Tahoma"/>
        </w:rPr>
        <w:t>485.329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7119C4">
        <w:rPr>
          <w:rFonts w:ascii="Tahoma" w:hAnsi="Tahoma" w:cs="Tahoma"/>
        </w:rPr>
        <w:t>9.000.218</w:t>
      </w:r>
    </w:p>
    <w:p w:rsidR="001666F5" w:rsidRDefault="001666F5" w:rsidP="004C1BE4">
      <w:pPr>
        <w:spacing w:before="0" w:after="0"/>
      </w:pPr>
    </w:p>
    <w:p w:rsidR="001666F5" w:rsidRDefault="001666F5" w:rsidP="004C1BE4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7119C4">
        <w:rPr>
          <w:rFonts w:ascii="Tahoma" w:hAnsi="Tahoma" w:cs="Tahoma"/>
        </w:rPr>
        <w:t>7.087.679 / 9.000.218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7119C4">
        <w:rPr>
          <w:rFonts w:ascii="Tahoma" w:hAnsi="Tahoma" w:cs="Tahoma"/>
        </w:rPr>
        <w:t>0.78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A44BFD">
        <w:t>Co</w:t>
      </w:r>
      <w:r w:rsidR="00F53120">
        <w:t>yaima</w:t>
      </w:r>
      <w:r>
        <w:t xml:space="preserve"> debe a corto plazo, cuenta con </w:t>
      </w:r>
      <w:r w:rsidR="00F53120">
        <w:t>0.78</w:t>
      </w:r>
      <w:r>
        <w:t xml:space="preserve"> pesos en activos corriente para cubrirlos, lo que signifi</w:t>
      </w:r>
      <w:r w:rsidR="00895504">
        <w:t xml:space="preserve">ca que el mencionado municipio </w:t>
      </w:r>
      <w:r w:rsidR="00F53120">
        <w:t xml:space="preserve">no </w:t>
      </w:r>
      <w:r w:rsidR="00895504">
        <w:t>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A7456E" w:rsidRPr="00260E0D" w:rsidRDefault="00F53120" w:rsidP="004C1BE4">
      <w:pPr>
        <w:spacing w:before="0" w:after="0"/>
        <w:jc w:val="both"/>
        <w:rPr>
          <w:rFonts w:ascii="Tahoma" w:hAnsi="Tahoma" w:cs="Tahoma"/>
        </w:rPr>
      </w:pPr>
      <w:r w:rsidRPr="00895504">
        <w:rPr>
          <w:rFonts w:ascii="Tahoma" w:hAnsi="Tahoma" w:cs="Tahoma"/>
        </w:rPr>
        <w:t>$</w:t>
      </w:r>
      <w:r>
        <w:rPr>
          <w:rFonts w:ascii="Tahoma" w:hAnsi="Tahoma" w:cs="Tahoma"/>
        </w:rPr>
        <w:t>7.087.679 - 9.000.218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 w:rsidR="003B2B94">
        <w:rPr>
          <w:rFonts w:ascii="Tahoma" w:hAnsi="Tahoma" w:cs="Tahoma"/>
        </w:rPr>
        <w:t>$</w:t>
      </w:r>
      <w:r>
        <w:rPr>
          <w:rFonts w:ascii="Tahoma" w:hAnsi="Tahoma" w:cs="Tahoma"/>
        </w:rPr>
        <w:t>-1.912.539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F53120">
        <w:t>no posee</w:t>
      </w:r>
      <w:r>
        <w:t xml:space="preserve"> recursos propios</w:t>
      </w:r>
      <w:r w:rsidR="00F53120">
        <w:t xml:space="preserve"> suficientes</w:t>
      </w:r>
      <w:r>
        <w:t xml:space="preserve">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077B76">
        <w:rPr>
          <w:rFonts w:ascii="Tahoma" w:hAnsi="Tahoma" w:cs="Tahoma"/>
        </w:rPr>
        <w:t>9.969.052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077B76">
        <w:rPr>
          <w:rFonts w:ascii="Tahoma" w:hAnsi="Tahoma" w:cs="Tahoma"/>
        </w:rPr>
        <w:t>9.702.889</w:t>
      </w:r>
      <w:r w:rsidRPr="00260E0D">
        <w:rPr>
          <w:rFonts w:ascii="Tahoma" w:hAnsi="Tahoma" w:cs="Tahoma"/>
        </w:rPr>
        <w:t xml:space="preserve"> =</w:t>
      </w:r>
      <w:r w:rsidR="00077B76">
        <w:rPr>
          <w:rFonts w:ascii="Tahoma" w:hAnsi="Tahoma" w:cs="Tahoma"/>
        </w:rPr>
        <w:t xml:space="preserve"> 102.74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077B76">
        <w:t>102.74</w:t>
      </w:r>
      <w:r>
        <w:t>% está siendo financiado por los acreedores</w:t>
      </w:r>
      <w:r w:rsidR="00077B76">
        <w:t>, también nos muestra la difícil situación financiera de ente territorial, ya que presente sobre endeudamiento</w:t>
      </w:r>
      <w:r>
        <w:t>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077B76">
        <w:rPr>
          <w:rFonts w:ascii="Tahoma" w:hAnsi="Tahoma" w:cs="Tahoma"/>
        </w:rPr>
        <w:t>-267.404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077B76">
        <w:rPr>
          <w:rFonts w:ascii="Tahoma" w:hAnsi="Tahoma" w:cs="Tahoma"/>
        </w:rPr>
        <w:t>9.702.889</w:t>
      </w:r>
      <w:r w:rsidR="003B2B94">
        <w:rPr>
          <w:rFonts w:ascii="Tahoma" w:hAnsi="Tahoma" w:cs="Tahoma"/>
        </w:rPr>
        <w:t xml:space="preserve"> </w:t>
      </w:r>
      <w:r w:rsidRPr="00260E0D">
        <w:rPr>
          <w:rFonts w:ascii="Tahoma" w:hAnsi="Tahoma" w:cs="Tahoma"/>
        </w:rPr>
        <w:t xml:space="preserve">= </w:t>
      </w:r>
      <w:r w:rsidR="00077B76">
        <w:rPr>
          <w:rFonts w:ascii="Tahoma" w:hAnsi="Tahoma" w:cs="Tahoma"/>
        </w:rPr>
        <w:t>-2.75%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>El porcentaje establecido anteriormente nos indica que</w:t>
      </w:r>
      <w:r w:rsidR="00077B76">
        <w:t xml:space="preserve"> ms del 100% </w:t>
      </w:r>
      <w:r>
        <w:t xml:space="preserve">de los activos, están siendo financiados </w:t>
      </w:r>
      <w:r w:rsidR="00077B76">
        <w:t>por los acreedores, generando hasta un déficit del -2.75%</w:t>
      </w:r>
      <w:r>
        <w:t>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924723">
        <w:rPr>
          <w:rFonts w:ascii="Tahoma" w:hAnsi="Tahoma" w:cs="Tahoma"/>
        </w:rPr>
        <w:t>Co</w:t>
      </w:r>
      <w:r w:rsidR="002B1321">
        <w:rPr>
          <w:rFonts w:ascii="Tahoma" w:hAnsi="Tahoma" w:cs="Tahoma"/>
        </w:rPr>
        <w:t>yaima</w:t>
      </w:r>
      <w:r w:rsidRPr="00AC6F1B">
        <w:rPr>
          <w:rFonts w:ascii="Tahoma" w:hAnsi="Tahoma" w:cs="Tahoma"/>
        </w:rPr>
        <w:t xml:space="preserve"> con su Balance General </w:t>
      </w:r>
      <w:r w:rsidR="002B1321">
        <w:rPr>
          <w:rFonts w:ascii="Tahoma" w:hAnsi="Tahoma" w:cs="Tahoma"/>
        </w:rPr>
        <w:t>a diciembre 31 de 2015 reflejaba una situación financiera más que desfavorable se torna critica</w:t>
      </w:r>
      <w:r w:rsidR="00101FF4">
        <w:rPr>
          <w:rFonts w:ascii="Tahoma" w:hAnsi="Tahoma" w:cs="Tahoma"/>
        </w:rPr>
        <w:t>, ya que sus activo disminuyeron el  17.18%</w:t>
      </w:r>
      <w:r w:rsidRPr="00AC6F1B">
        <w:rPr>
          <w:rFonts w:ascii="Tahoma" w:hAnsi="Tahoma" w:cs="Tahoma"/>
        </w:rPr>
        <w:t xml:space="preserve"> la suma de $</w:t>
      </w:r>
      <w:r w:rsidR="00101FF4">
        <w:rPr>
          <w:rFonts w:ascii="Tahoma" w:hAnsi="Tahoma" w:cs="Tahoma"/>
        </w:rPr>
        <w:t>-2.012.340</w:t>
      </w:r>
      <w:r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>, reflejados en las cuentas Depósitos en Institucione</w:t>
      </w:r>
      <w:r w:rsidR="00AC6F1B">
        <w:rPr>
          <w:rFonts w:ascii="Tahoma" w:hAnsi="Tahoma" w:cs="Tahoma"/>
        </w:rPr>
        <w:t xml:space="preserve">s Financieras, </w:t>
      </w:r>
      <w:r w:rsidR="00101FF4">
        <w:rPr>
          <w:rFonts w:ascii="Tahoma" w:hAnsi="Tahoma" w:cs="Tahoma"/>
        </w:rPr>
        <w:t xml:space="preserve">Rentas por Cobrar y </w:t>
      </w:r>
      <w:r w:rsidR="00924723">
        <w:rPr>
          <w:rFonts w:ascii="Tahoma" w:hAnsi="Tahoma" w:cs="Tahoma"/>
        </w:rPr>
        <w:t>Deudores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345FA7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Refleja un</w:t>
      </w:r>
      <w:r w:rsidR="006756E8" w:rsidRPr="00AC6F1B">
        <w:rPr>
          <w:rFonts w:ascii="Tahoma" w:hAnsi="Tahoma" w:cs="Tahoma"/>
        </w:rPr>
        <w:t xml:space="preserve"> patrimonio</w:t>
      </w:r>
      <w:r>
        <w:rPr>
          <w:rFonts w:ascii="Tahoma" w:hAnsi="Tahoma" w:cs="Tahoma"/>
        </w:rPr>
        <w:t xml:space="preserve"> negativo por la suma de $-267.040 miles,</w:t>
      </w:r>
      <w:r w:rsidR="006756E8" w:rsidRPr="00AC6F1B">
        <w:rPr>
          <w:rFonts w:ascii="Tahoma" w:hAnsi="Tahoma" w:cs="Tahoma"/>
        </w:rPr>
        <w:t xml:space="preserve"> </w:t>
      </w:r>
      <w:r w:rsidR="00772FF9">
        <w:rPr>
          <w:rFonts w:ascii="Tahoma" w:hAnsi="Tahoma" w:cs="Tahoma"/>
        </w:rPr>
        <w:t>con respecto a la vigencia 2014.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>Su estructura financiera al cierre del periodo contable 201</w:t>
      </w:r>
      <w:r w:rsidR="00345FA7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345FA7">
        <w:rPr>
          <w:rFonts w:ascii="Tahoma" w:hAnsi="Tahoma" w:cs="Tahoma"/>
        </w:rPr>
        <w:t xml:space="preserve">102% </w:t>
      </w:r>
      <w:r w:rsidRPr="00AC6F1B">
        <w:rPr>
          <w:rFonts w:ascii="Tahoma" w:hAnsi="Tahoma" w:cs="Tahoma"/>
        </w:rPr>
        <w:t>los pasivos.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345FA7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Registra un sobre endeudamiento del 102.74%</w:t>
      </w:r>
      <w:r w:rsidR="000D2062" w:rsidRPr="00AC6F1B">
        <w:rPr>
          <w:rFonts w:ascii="Tahoma" w:hAnsi="Tahoma" w:cs="Tahoma"/>
        </w:rPr>
        <w:t>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032118">
        <w:rPr>
          <w:rFonts w:ascii="Tahoma" w:hAnsi="Tahoma" w:cs="Tahoma"/>
        </w:rPr>
        <w:t>os concluir que el municipio de</w:t>
      </w:r>
      <w:r w:rsidR="00C83948" w:rsidRPr="00AC6F1B">
        <w:rPr>
          <w:rFonts w:ascii="Tahoma" w:hAnsi="Tahoma" w:cs="Tahoma"/>
        </w:rPr>
        <w:t xml:space="preserve"> </w:t>
      </w:r>
      <w:r w:rsidR="00032118">
        <w:rPr>
          <w:rFonts w:ascii="Tahoma" w:hAnsi="Tahoma" w:cs="Tahoma"/>
        </w:rPr>
        <w:t>Co</w:t>
      </w:r>
      <w:r w:rsidR="00345FA7">
        <w:rPr>
          <w:rFonts w:ascii="Tahoma" w:hAnsi="Tahoma" w:cs="Tahoma"/>
        </w:rPr>
        <w:t>yaima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032118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345FA7">
        <w:rPr>
          <w:rFonts w:ascii="Tahoma" w:hAnsi="Tahoma" w:cs="Tahoma"/>
        </w:rPr>
        <w:t>ms que des</w:t>
      </w:r>
      <w:r w:rsidR="00CC0F10">
        <w:rPr>
          <w:rFonts w:ascii="Tahoma" w:hAnsi="Tahoma" w:cs="Tahoma"/>
        </w:rPr>
        <w:t>favorable</w:t>
      </w:r>
      <w:r w:rsidR="00345FA7">
        <w:rPr>
          <w:rFonts w:ascii="Tahoma" w:hAnsi="Tahoma" w:cs="Tahoma"/>
        </w:rPr>
        <w:t>, podríamos decir que critica</w:t>
      </w:r>
      <w:r w:rsidR="00CC0F10">
        <w:rPr>
          <w:rFonts w:ascii="Tahoma" w:hAnsi="Tahoma" w:cs="Tahoma"/>
        </w:rPr>
        <w:t xml:space="preserve">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9"/>
      <w:footerReference w:type="default" r:id="rId10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109" w:rsidRDefault="005A3109" w:rsidP="00650A99">
      <w:r>
        <w:separator/>
      </w:r>
    </w:p>
  </w:endnote>
  <w:endnote w:type="continuationSeparator" w:id="0">
    <w:p w:rsidR="005A3109" w:rsidRDefault="005A3109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37E" w:rsidRPr="00070555" w:rsidRDefault="0090337E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337E" w:rsidRPr="003205FF" w:rsidRDefault="0090337E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F0809" w:rsidRPr="00EF0809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EF0809" w:rsidRPr="00EF0809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90337E" w:rsidRPr="003205FF" w:rsidRDefault="0090337E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F0809" w:rsidRPr="00EF0809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EF0809" w:rsidRPr="00EF0809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337E" w:rsidRDefault="0090337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90337E" w:rsidRDefault="0090337E"/>
                </w:txbxContent>
              </v:textbox>
            </v:shape>
          </w:pict>
        </mc:Fallback>
      </mc:AlternateContent>
    </w:r>
  </w:p>
  <w:p w:rsidR="0090337E" w:rsidRPr="00070555" w:rsidRDefault="0090337E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337E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90337E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90337E" w:rsidRPr="00BB3D88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90337E" w:rsidRPr="003205FF" w:rsidRDefault="00EF0809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90337E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90337E" w:rsidRPr="000352F0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90337E" w:rsidRPr="00BB3D88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90337E" w:rsidRPr="00A926CE" w:rsidRDefault="0090337E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90337E" w:rsidRDefault="0090337E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90337E" w:rsidRDefault="0090337E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90337E" w:rsidRPr="00BB3D88" w:rsidRDefault="0090337E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90337E" w:rsidRPr="003205FF" w:rsidRDefault="00EF0809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90337E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90337E" w:rsidRPr="000352F0" w:rsidRDefault="0090337E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90337E" w:rsidRPr="00BB3D88" w:rsidRDefault="0090337E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90337E" w:rsidRPr="00A926CE" w:rsidRDefault="0090337E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109" w:rsidRDefault="005A3109" w:rsidP="00650A99">
      <w:r>
        <w:separator/>
      </w:r>
    </w:p>
  </w:footnote>
  <w:footnote w:type="continuationSeparator" w:id="0">
    <w:p w:rsidR="005A3109" w:rsidRDefault="005A3109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37E" w:rsidRPr="00124F58" w:rsidRDefault="0090337E">
    <w:pPr>
      <w:pStyle w:val="Encabezado"/>
      <w:rPr>
        <w:rFonts w:ascii="Tahoma" w:hAnsi="Tahoma" w:cs="Tahoma"/>
        <w:sz w:val="8"/>
      </w:rPr>
    </w:pPr>
  </w:p>
  <w:p w:rsidR="0090337E" w:rsidRDefault="00AC52FF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2118"/>
    <w:rsid w:val="0003468E"/>
    <w:rsid w:val="000352F0"/>
    <w:rsid w:val="00040509"/>
    <w:rsid w:val="00043E5E"/>
    <w:rsid w:val="00044B50"/>
    <w:rsid w:val="000479B3"/>
    <w:rsid w:val="00055D25"/>
    <w:rsid w:val="0005757F"/>
    <w:rsid w:val="00062A7C"/>
    <w:rsid w:val="00070555"/>
    <w:rsid w:val="0007281C"/>
    <w:rsid w:val="00073152"/>
    <w:rsid w:val="000732A3"/>
    <w:rsid w:val="00074463"/>
    <w:rsid w:val="00077B76"/>
    <w:rsid w:val="00081AAB"/>
    <w:rsid w:val="00084FFA"/>
    <w:rsid w:val="0008654C"/>
    <w:rsid w:val="000913E2"/>
    <w:rsid w:val="000A4E2D"/>
    <w:rsid w:val="000A4FDA"/>
    <w:rsid w:val="000A5F72"/>
    <w:rsid w:val="000B2584"/>
    <w:rsid w:val="000B5D29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1FF4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250"/>
    <w:rsid w:val="00294FB6"/>
    <w:rsid w:val="00297AD1"/>
    <w:rsid w:val="002A5283"/>
    <w:rsid w:val="002B1321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21FA0"/>
    <w:rsid w:val="00324EE5"/>
    <w:rsid w:val="003305B2"/>
    <w:rsid w:val="00332DE4"/>
    <w:rsid w:val="00341B3E"/>
    <w:rsid w:val="00345FA7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0BEB"/>
    <w:rsid w:val="003A5822"/>
    <w:rsid w:val="003B11DD"/>
    <w:rsid w:val="003B2B94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2E59"/>
    <w:rsid w:val="00563F32"/>
    <w:rsid w:val="00585BCF"/>
    <w:rsid w:val="00585ED0"/>
    <w:rsid w:val="00590A7E"/>
    <w:rsid w:val="005916D2"/>
    <w:rsid w:val="00595ED2"/>
    <w:rsid w:val="005A3109"/>
    <w:rsid w:val="005A74EC"/>
    <w:rsid w:val="005B6F12"/>
    <w:rsid w:val="005C3743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119C4"/>
    <w:rsid w:val="00745063"/>
    <w:rsid w:val="00747180"/>
    <w:rsid w:val="00754337"/>
    <w:rsid w:val="00764ABD"/>
    <w:rsid w:val="00770276"/>
    <w:rsid w:val="00770ADC"/>
    <w:rsid w:val="00771928"/>
    <w:rsid w:val="00772FF9"/>
    <w:rsid w:val="00773282"/>
    <w:rsid w:val="00787E63"/>
    <w:rsid w:val="00796DDA"/>
    <w:rsid w:val="007B4882"/>
    <w:rsid w:val="007B70F7"/>
    <w:rsid w:val="007C4270"/>
    <w:rsid w:val="007C5D9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110D"/>
    <w:rsid w:val="00872CA8"/>
    <w:rsid w:val="00873E9F"/>
    <w:rsid w:val="008761A0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337E"/>
    <w:rsid w:val="009058D0"/>
    <w:rsid w:val="00907660"/>
    <w:rsid w:val="00914565"/>
    <w:rsid w:val="00921D04"/>
    <w:rsid w:val="00924723"/>
    <w:rsid w:val="00926B45"/>
    <w:rsid w:val="0093105E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C0615"/>
    <w:rsid w:val="009D7ECE"/>
    <w:rsid w:val="009E27EC"/>
    <w:rsid w:val="009E358A"/>
    <w:rsid w:val="009F3F48"/>
    <w:rsid w:val="009F4469"/>
    <w:rsid w:val="00A00AAE"/>
    <w:rsid w:val="00A04FA7"/>
    <w:rsid w:val="00A1087C"/>
    <w:rsid w:val="00A32BD8"/>
    <w:rsid w:val="00A34FD5"/>
    <w:rsid w:val="00A43B37"/>
    <w:rsid w:val="00A44BFD"/>
    <w:rsid w:val="00A44F64"/>
    <w:rsid w:val="00A47CA0"/>
    <w:rsid w:val="00A55479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52FF"/>
    <w:rsid w:val="00AC6DD0"/>
    <w:rsid w:val="00AC6F1B"/>
    <w:rsid w:val="00AD56DB"/>
    <w:rsid w:val="00AE45E6"/>
    <w:rsid w:val="00AF09B1"/>
    <w:rsid w:val="00AF71D3"/>
    <w:rsid w:val="00B018BC"/>
    <w:rsid w:val="00B11E2E"/>
    <w:rsid w:val="00B179EC"/>
    <w:rsid w:val="00B17D06"/>
    <w:rsid w:val="00B229DE"/>
    <w:rsid w:val="00B235FD"/>
    <w:rsid w:val="00B258AA"/>
    <w:rsid w:val="00B34497"/>
    <w:rsid w:val="00B430BE"/>
    <w:rsid w:val="00B47B96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B631D"/>
    <w:rsid w:val="00CC0170"/>
    <w:rsid w:val="00CC0F1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84D2D"/>
    <w:rsid w:val="00DA07E0"/>
    <w:rsid w:val="00DA76D0"/>
    <w:rsid w:val="00DB2278"/>
    <w:rsid w:val="00DD0981"/>
    <w:rsid w:val="00DD23B0"/>
    <w:rsid w:val="00DD5CA9"/>
    <w:rsid w:val="00DD73D2"/>
    <w:rsid w:val="00E00EAB"/>
    <w:rsid w:val="00E06024"/>
    <w:rsid w:val="00E22BA0"/>
    <w:rsid w:val="00E23E93"/>
    <w:rsid w:val="00E37DA4"/>
    <w:rsid w:val="00E438FA"/>
    <w:rsid w:val="00E44E11"/>
    <w:rsid w:val="00E562E9"/>
    <w:rsid w:val="00E745B9"/>
    <w:rsid w:val="00E80CF1"/>
    <w:rsid w:val="00EA5410"/>
    <w:rsid w:val="00ED18CB"/>
    <w:rsid w:val="00EF0809"/>
    <w:rsid w:val="00F067EF"/>
    <w:rsid w:val="00F11CE8"/>
    <w:rsid w:val="00F148C5"/>
    <w:rsid w:val="00F152E9"/>
    <w:rsid w:val="00F1665C"/>
    <w:rsid w:val="00F413A2"/>
    <w:rsid w:val="00F53120"/>
    <w:rsid w:val="00F56A4B"/>
    <w:rsid w:val="00F57D5F"/>
    <w:rsid w:val="00F64422"/>
    <w:rsid w:val="00F74102"/>
    <w:rsid w:val="00F74A4C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89624FE6-ABFC-4D50-8808-4048BE78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1884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15</cp:revision>
  <cp:lastPrinted>2016-12-25T21:53:00Z</cp:lastPrinted>
  <dcterms:created xsi:type="dcterms:W3CDTF">2016-10-20T22:32:00Z</dcterms:created>
  <dcterms:modified xsi:type="dcterms:W3CDTF">2016-12-25T21:54:00Z</dcterms:modified>
</cp:coreProperties>
</file>